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8"/>
        </w:rPr>
      </w:pPr>
    </w:p>
    <w:p>
      <w:pPr>
        <w:spacing w:line="360" w:lineRule="auto"/>
        <w:jc w:val="center"/>
        <w:rPr>
          <w:rFonts w:ascii="方正小标宋简体" w:hAnsi="Arial Narrow" w:eastAsia="方正小标宋简体"/>
          <w:sz w:val="44"/>
          <w:szCs w:val="44"/>
        </w:rPr>
      </w:pPr>
    </w:p>
    <w:p>
      <w:pPr>
        <w:spacing w:line="360" w:lineRule="auto"/>
        <w:jc w:val="center"/>
        <w:rPr>
          <w:rFonts w:hint="eastAsia" w:ascii="方正小标宋简体" w:hAnsi="Arial Narrow" w:eastAsia="方正小标宋简体"/>
          <w:sz w:val="44"/>
          <w:szCs w:val="44"/>
        </w:rPr>
      </w:pPr>
      <w:r>
        <w:rPr>
          <w:rFonts w:hint="eastAsia" w:ascii="方正小标宋简体" w:hAnsi="Arial Narrow" w:eastAsia="方正小标宋简体"/>
          <w:sz w:val="44"/>
          <w:szCs w:val="44"/>
        </w:rPr>
        <w:t>202</w:t>
      </w:r>
      <w:r>
        <w:rPr>
          <w:rFonts w:hint="eastAsia" w:ascii="方正小标宋简体" w:hAnsi="Arial Narrow" w:eastAsia="方正小标宋简体"/>
          <w:sz w:val="44"/>
          <w:szCs w:val="44"/>
          <w:lang w:val="en-US" w:eastAsia="zh-CN"/>
        </w:rPr>
        <w:t>1</w:t>
      </w:r>
      <w:r>
        <w:rPr>
          <w:rFonts w:hint="eastAsia" w:ascii="方正小标宋简体" w:hAnsi="Arial Narrow" w:eastAsia="方正小标宋简体"/>
          <w:sz w:val="44"/>
          <w:szCs w:val="44"/>
        </w:rPr>
        <w:t>年度兰州市生态环境局西固分局</w:t>
      </w:r>
    </w:p>
    <w:p>
      <w:pPr>
        <w:spacing w:line="360" w:lineRule="auto"/>
        <w:jc w:val="center"/>
        <w:rPr>
          <w:rFonts w:ascii="方正小标宋简体" w:hAnsi="Arial Narrow" w:eastAsia="方正小标宋简体"/>
          <w:sz w:val="44"/>
          <w:szCs w:val="44"/>
        </w:rPr>
      </w:pPr>
      <w:r>
        <w:rPr>
          <w:rFonts w:hint="eastAsia" w:ascii="方正小标宋简体" w:hAnsi="Arial Narrow" w:eastAsia="方正小标宋简体"/>
          <w:sz w:val="44"/>
          <w:szCs w:val="44"/>
        </w:rPr>
        <w:t>市级预算执行情况绩效自评报告</w:t>
      </w:r>
    </w:p>
    <w:p>
      <w:pPr>
        <w:spacing w:line="360" w:lineRule="auto"/>
        <w:jc w:val="left"/>
        <w:rPr>
          <w:rFonts w:asciiTheme="majorEastAsia" w:hAnsiTheme="majorEastAsia" w:eastAsiaTheme="majorEastAsia"/>
          <w:sz w:val="32"/>
          <w:szCs w:val="32"/>
        </w:rPr>
      </w:pPr>
      <w:r>
        <w:rPr>
          <w:rFonts w:asciiTheme="majorEastAsia" w:hAnsiTheme="majorEastAsia" w:eastAsiaTheme="majorEastAsia"/>
          <w:b/>
          <w:sz w:val="32"/>
          <w:szCs w:val="32"/>
        </w:rPr>
        <w:t>一、基本情况</w:t>
      </w:r>
    </w:p>
    <w:p>
      <w:pPr>
        <w:spacing w:line="360" w:lineRule="auto"/>
        <w:ind w:firstLine="643" w:firstLineChars="200"/>
        <w:rPr>
          <w:rFonts w:ascii="仿宋" w:hAnsi="仿宋" w:eastAsia="仿宋"/>
          <w:b/>
          <w:sz w:val="32"/>
          <w:szCs w:val="32"/>
        </w:rPr>
      </w:pPr>
      <w:r>
        <w:rPr>
          <w:rFonts w:ascii="仿宋" w:hAnsi="仿宋" w:eastAsia="仿宋"/>
          <w:b/>
          <w:sz w:val="32"/>
          <w:szCs w:val="32"/>
        </w:rPr>
        <w:t>部门主要职能</w:t>
      </w:r>
      <w:bookmarkStart w:id="0" w:name="_GoBack"/>
      <w:bookmarkEnd w:id="0"/>
    </w:p>
    <w:p>
      <w:pPr>
        <w:spacing w:line="360" w:lineRule="auto"/>
        <w:ind w:firstLine="640" w:firstLineChars="200"/>
        <w:rPr>
          <w:rFonts w:ascii="仿宋" w:hAnsi="仿宋" w:eastAsia="仿宋"/>
          <w:sz w:val="32"/>
          <w:szCs w:val="32"/>
        </w:rPr>
      </w:pPr>
      <w:r>
        <w:rPr>
          <w:rFonts w:hint="eastAsia" w:ascii="仿宋" w:hAnsi="仿宋" w:eastAsia="仿宋"/>
          <w:sz w:val="32"/>
          <w:szCs w:val="32"/>
        </w:rPr>
        <w:t>(一)贯彻执行国家环境保护法律、法规、方针、政策和基本制度，对全区环境保护工作实施统一监督管理；负责建立健全全区环境保护有关制度，拟订并监督实施全区环境保护规划。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依照环境保护法律、法规、标准、规划，负责污染防治(包括水体、大气、土壤、固体废物、噪声、光、恶臭、机动车污染)、自然生态保护、核辐射安全管理等工作，组织实施和监督管理污染源排污申报登记、限期治理工作；牵头协调突发环境污染事故和生态破坏事件的应急、预警、调查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(三)负责提出全区环境保护领域固定资产投资规模和方向的意见；按照权限审核、申报规划内和年度计划规模内固定资产投资项目，并配合相关部门做好组织实施和监督工作。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负责全区污染减排工作。监督和组织实施主要污染物排放总量控制和排污许可证制度，负责污染减排的统计、监测工作；协调落实污染物总量控制指标，实施环保目标责任管理，核查责任单位污染物减排任务完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负责从源头上预防、控制环境污染和生态破坏的工作。负责有关专项规划的环境影响评价管理，审批开发建设项目环境影响评价文件；监督环境影响评价法律、法规和环保设施与主体工程同时设计、同时施工、同时投产使用制度的执行，对建设项目竣工进行环境保护验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负责全区农村生态环境保护、污染防治的统一监督管理和综合协调工作。编制全区农村生态环境保护规划，并监督和组织实施；负责农村饮用水源地保护、工农业污染防治、环境综合整治以及有机食品生产基地的监督管理；对农业污染和生 态破坏事故进行相关应急处理。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(七)负责对全区核技术利用、伴生放射性矿开发利用中的放射性污染防治进行监督检查；对电磁辐射、放射性同位素、射线装置的安全和防护进行监督管理；负责核事故报告和应急工作。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监督管理全区自然生态保护工作。组织评估自然环境质量状况，拟订全区生态保护规划，并监督和组织实施；监督对自然环境有危害的自然资源开发利用活动和实施生态破坏的恢复工作；组织协调森林公园和生物多样性保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(九)负责全区危险固体废物及废弃危险化学品污染防治和监督管理。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(十)负责监督污染严重企业主要污染物排放公布情况，对未按规定公布的企业实施处罚；参与编制全区循环经济发展规划，负责全区循环经济有关监督管理工作。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(十一)组织开展全区环境监理执法工作，核定污染物排放种类、数量，依法征收排污费；监督辖区内污染源排放污染物情况和污染治理设施的运行情况，依法查处违反环境保护法规的行为。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二)组织开展环境监测与环境科研工作。开展环境质量监测、污染源监督性监测和环境应急监测；组织对辖区环境质量状况进行调查评估、预测预警，负责建设和管理全区环境监测网和环境信息网，发布全区环境质量状况和重大环境信息；组织开展环境保护课题研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(十三)组织开展环境保护宣传教育工作。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(十四)指导区级有关部门开展环境监督工作。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(十五)承办区委、区政府和上级部门交办的其他事项。</w:t>
      </w:r>
    </w:p>
    <w:p>
      <w:pPr>
        <w:spacing w:line="360" w:lineRule="auto"/>
        <w:ind w:firstLine="643" w:firstLineChars="200"/>
        <w:rPr>
          <w:rFonts w:ascii="仿宋" w:hAnsi="仿宋" w:eastAsia="仿宋"/>
          <w:b/>
          <w:sz w:val="32"/>
          <w:szCs w:val="32"/>
        </w:rPr>
      </w:pPr>
      <w:r>
        <w:rPr>
          <w:rFonts w:ascii="仿宋" w:hAnsi="仿宋" w:eastAsia="仿宋"/>
          <w:b/>
          <w:sz w:val="32"/>
          <w:szCs w:val="32"/>
        </w:rPr>
        <w:t xml:space="preserve"> (二)内设机构及所属单位概况</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机构情况</w:t>
      </w:r>
      <w:r>
        <w:rPr>
          <w:rFonts w:hint="eastAsia" w:ascii="仿宋" w:hAnsi="仿宋" w:eastAsia="仿宋"/>
          <w:sz w:val="32"/>
          <w:szCs w:val="32"/>
        </w:rPr>
        <w:t>：我单位隶属兰州市生态环境局二级部门，本部门下设事业编制单位1个：兰州市西固生态环境监测站；局机关内设有局机关办公室、财务科 、土壤生态环境办、大气环境管理办、水生态环境办、应急管理办公室、党建科、环境影响评价和排放管理办公室、后勤科、车队10个部门。</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人员情况：</w:t>
      </w:r>
      <w:r>
        <w:rPr>
          <w:rFonts w:hint="eastAsia" w:ascii="仿宋" w:hAnsi="仿宋" w:eastAsia="仿宋"/>
          <w:sz w:val="32"/>
          <w:szCs w:val="32"/>
        </w:rPr>
        <w:t>我单位在职人员编制数为49人，其中：行政编制7人；参公编制10人；事业编制18人；工勤编制14人。年底实有人数75人，其中：在职人员47人（行政7人，参公10人，事业18人，工勤12人），离休人员0人，退休人员28人。</w:t>
      </w:r>
    </w:p>
    <w:p>
      <w:pPr>
        <w:spacing w:line="360" w:lineRule="auto"/>
        <w:ind w:firstLine="640" w:firstLineChars="200"/>
        <w:rPr>
          <w:rFonts w:ascii="仿宋" w:hAnsi="仿宋" w:eastAsia="仿宋"/>
          <w:sz w:val="32"/>
          <w:szCs w:val="32"/>
        </w:rPr>
      </w:pPr>
    </w:p>
    <w:p>
      <w:pPr>
        <w:spacing w:line="360" w:lineRule="auto"/>
        <w:ind w:firstLine="643" w:firstLineChars="200"/>
        <w:rPr>
          <w:rFonts w:ascii="仿宋" w:hAnsi="仿宋" w:eastAsia="仿宋"/>
          <w:sz w:val="32"/>
          <w:szCs w:val="32"/>
        </w:rPr>
      </w:pPr>
      <w:r>
        <w:rPr>
          <w:rFonts w:asciiTheme="majorEastAsia" w:hAnsiTheme="majorEastAsia" w:eastAsiaTheme="majorEastAsia"/>
          <w:b/>
          <w:sz w:val="32"/>
          <w:szCs w:val="32"/>
        </w:rPr>
        <w:t>二、绩效自评工作组织开展情况</w:t>
      </w:r>
      <w:r>
        <w:rPr>
          <w:rFonts w:asciiTheme="majorEastAsia" w:hAnsiTheme="majorEastAsia" w:eastAsiaTheme="majorEastAsia"/>
          <w:b/>
          <w:sz w:val="32"/>
          <w:szCs w:val="32"/>
        </w:rPr>
        <w:cr/>
      </w:r>
      <w:r>
        <w:rPr>
          <w:rFonts w:ascii="仿宋" w:hAnsi="仿宋" w:eastAsia="仿宋"/>
          <w:sz w:val="32"/>
          <w:szCs w:val="32"/>
        </w:rPr>
        <w:t xml:space="preserve">    为深入推进预算绩效管理工作，加强财政资金使用管理，提高政府专项资金使用效率，推动自评价真实有效开展。我局自收到兰州市财政局《关于开展2020年度市级预算绩效自评工作的通知》（兰财绩〔2021〕5号）后，局领导高度重视，由预算绩效管理领导小组牵头，于2021年3月25日组织相关业务科室及财务部门对2020年度项目支出预算绩效开展自评价工作，认真查阅2020年度项目支出的财务会计资料、项目资料及与其考核评价相关的其他资料，确保评价结果真实、可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纳入预算绩效自评范围的项目有</w:t>
      </w:r>
      <w:r>
        <w:rPr>
          <w:rFonts w:hint="eastAsia" w:ascii="仿宋" w:hAnsi="仿宋" w:eastAsia="仿宋"/>
          <w:sz w:val="32"/>
          <w:szCs w:val="32"/>
        </w:rPr>
        <w:t>14</w:t>
      </w:r>
      <w:r>
        <w:rPr>
          <w:rFonts w:ascii="仿宋" w:hAnsi="仿宋" w:eastAsia="仿宋"/>
          <w:sz w:val="32"/>
          <w:szCs w:val="32"/>
        </w:rPr>
        <w:t>个，</w:t>
      </w:r>
      <w:r>
        <w:rPr>
          <w:rFonts w:hint="eastAsia" w:ascii="仿宋" w:hAnsi="仿宋" w:eastAsia="仿宋"/>
          <w:sz w:val="32"/>
          <w:szCs w:val="32"/>
        </w:rPr>
        <w:t>预算资金共计1317.40万元，执行数共计1317.40万元，执行率为100%</w:t>
      </w:r>
      <w:r>
        <w:rPr>
          <w:rFonts w:ascii="仿宋" w:hAnsi="仿宋" w:eastAsia="仿宋"/>
          <w:sz w:val="32"/>
          <w:szCs w:val="32"/>
        </w:rPr>
        <w:t>。依据财预便[2017]44号文件对绩效评价结果等级划分标准:优（90-100分）、良（80-89分）、中（60-79分）、差（0-59分），绩效自评价结果为“优”的项目</w:t>
      </w:r>
      <w:r>
        <w:rPr>
          <w:rFonts w:hint="eastAsia" w:ascii="仿宋" w:hAnsi="仿宋" w:eastAsia="仿宋"/>
          <w:sz w:val="32"/>
          <w:szCs w:val="32"/>
        </w:rPr>
        <w:t>14</w:t>
      </w:r>
      <w:r>
        <w:rPr>
          <w:rFonts w:ascii="仿宋" w:hAnsi="仿宋" w:eastAsia="仿宋"/>
          <w:sz w:val="32"/>
          <w:szCs w:val="32"/>
        </w:rPr>
        <w:t>个，具体情况见下表（单位：万元）：</w:t>
      </w:r>
    </w:p>
    <w:p>
      <w:pPr>
        <w:spacing w:line="360" w:lineRule="auto"/>
        <w:ind w:firstLine="640" w:firstLineChars="200"/>
        <w:rPr>
          <w:rFonts w:ascii="仿宋" w:hAnsi="仿宋" w:eastAsia="仿宋"/>
          <w:sz w:val="32"/>
          <w:szCs w:val="32"/>
        </w:rPr>
      </w:pPr>
    </w:p>
    <w:tbl>
      <w:tblPr>
        <w:tblStyle w:val="5"/>
        <w:tblW w:w="5220" w:type="pct"/>
        <w:jc w:val="center"/>
        <w:tblLayout w:type="fixed"/>
        <w:tblCellMar>
          <w:top w:w="0" w:type="dxa"/>
          <w:left w:w="108" w:type="dxa"/>
          <w:bottom w:w="0" w:type="dxa"/>
          <w:right w:w="108" w:type="dxa"/>
        </w:tblCellMar>
      </w:tblPr>
      <w:tblGrid>
        <w:gridCol w:w="518"/>
        <w:gridCol w:w="2292"/>
        <w:gridCol w:w="1133"/>
        <w:gridCol w:w="1132"/>
        <w:gridCol w:w="1555"/>
        <w:gridCol w:w="1135"/>
        <w:gridCol w:w="1132"/>
      </w:tblGrid>
      <w:tr>
        <w:tblPrEx>
          <w:tblCellMar>
            <w:top w:w="0" w:type="dxa"/>
            <w:left w:w="108" w:type="dxa"/>
            <w:bottom w:w="0" w:type="dxa"/>
            <w:right w:w="108" w:type="dxa"/>
          </w:tblCellMar>
        </w:tblPrEx>
        <w:trPr>
          <w:trHeight w:val="829" w:hRule="atLeast"/>
          <w:jc w:val="center"/>
        </w:trPr>
        <w:tc>
          <w:tcPr>
            <w:tcW w:w="2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序号</w:t>
            </w:r>
          </w:p>
        </w:tc>
        <w:tc>
          <w:tcPr>
            <w:tcW w:w="12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项目名称</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 xml:space="preserve"> 全年预算数 </w:t>
            </w:r>
          </w:p>
        </w:tc>
        <w:tc>
          <w:tcPr>
            <w:tcW w:w="6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全年执行数 </w:t>
            </w:r>
          </w:p>
        </w:tc>
        <w:tc>
          <w:tcPr>
            <w:tcW w:w="87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上缴财政 </w:t>
            </w:r>
          </w:p>
        </w:tc>
        <w:tc>
          <w:tcPr>
            <w:tcW w:w="6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自评得分</w:t>
            </w:r>
          </w:p>
        </w:tc>
        <w:tc>
          <w:tcPr>
            <w:tcW w:w="6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评价等级</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1</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环境保护宣传法治经费</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2</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环境执法保障</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10.31</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10.31</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3</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印刷费</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4</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应急物资储备</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19</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w:t>
            </w:r>
            <w:r>
              <w:rPr>
                <w:rFonts w:hint="eastAsia" w:ascii="仿宋" w:hAnsi="仿宋" w:eastAsia="仿宋" w:cs="宋体"/>
                <w:color w:val="000000"/>
                <w:kern w:val="0"/>
                <w:sz w:val="28"/>
                <w:szCs w:val="28"/>
              </w:rPr>
              <w:t>9</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5</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方案编制</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8</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6</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兰州市污染源普查动态更新调查工作第三方服务经费</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47.90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47.90</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7</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兰州市城市生活饮用水水源地保护一期工程建成设施运维管护</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268</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68</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8</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兰州市城市生活饮用水水源地保护二期工程建成设施运维管护</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263</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263</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9</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2021年度中央大气污染防治资金[第二批]</w:t>
            </w:r>
            <w:r>
              <w:rPr>
                <w:rFonts w:ascii="仿宋" w:hAnsi="仿宋" w:eastAsia="仿宋" w:cs="宋体"/>
                <w:kern w:val="0"/>
                <w:sz w:val="28"/>
                <w:szCs w:val="28"/>
              </w:rPr>
              <w:t xml:space="preserve">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98.85</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98.85</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优</w:t>
            </w:r>
          </w:p>
        </w:tc>
      </w:tr>
      <w:tr>
        <w:tblPrEx>
          <w:tblCellMar>
            <w:top w:w="0" w:type="dxa"/>
            <w:left w:w="108" w:type="dxa"/>
            <w:bottom w:w="0" w:type="dxa"/>
            <w:right w:w="108" w:type="dxa"/>
          </w:tblCellMar>
        </w:tblPrEx>
        <w:trPr>
          <w:trHeight w:val="859"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10</w:t>
            </w:r>
          </w:p>
        </w:tc>
        <w:tc>
          <w:tcPr>
            <w:tcW w:w="128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第三方环境监测专项资金</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64.56</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64.56</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98.73</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11</w:t>
            </w:r>
          </w:p>
        </w:tc>
        <w:tc>
          <w:tcPr>
            <w:tcW w:w="128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物业服务费</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18.78</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18.78</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 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12</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2021年省级污染减排项目“以奖代补”清算资金</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480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480</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13</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大气污染防治工作经费</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14.86</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14.86</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14</w:t>
            </w: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水源地工作经费</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9.14</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9.14</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优</w:t>
            </w: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kern w:val="0"/>
                <w:sz w:val="28"/>
                <w:szCs w:val="28"/>
              </w:rPr>
            </w:pP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合计</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1317.40</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1317.40</w:t>
            </w: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ascii="仿宋" w:hAnsi="仿宋" w:eastAsia="仿宋" w:cs="宋体"/>
                <w:kern w:val="0"/>
                <w:sz w:val="28"/>
                <w:szCs w:val="2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kern w:val="0"/>
                <w:sz w:val="28"/>
                <w:szCs w:val="28"/>
              </w:rPr>
            </w:pPr>
          </w:p>
        </w:tc>
        <w:tc>
          <w:tcPr>
            <w:tcW w:w="128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p>
        </w:tc>
        <w:tc>
          <w:tcPr>
            <w:tcW w:w="128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r>
      <w:tr>
        <w:tblPrEx>
          <w:tblCellMar>
            <w:top w:w="0" w:type="dxa"/>
            <w:left w:w="108" w:type="dxa"/>
            <w:bottom w:w="0" w:type="dxa"/>
            <w:right w:w="108" w:type="dxa"/>
          </w:tblCellMar>
        </w:tblPrEx>
        <w:trPr>
          <w:trHeight w:val="600" w:hRule="atLeast"/>
          <w:jc w:val="center"/>
        </w:trPr>
        <w:tc>
          <w:tcPr>
            <w:tcW w:w="2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p>
        </w:tc>
        <w:tc>
          <w:tcPr>
            <w:tcW w:w="128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p>
        </w:tc>
        <w:tc>
          <w:tcPr>
            <w:tcW w:w="87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r>
    </w:tbl>
    <w:p>
      <w:pPr>
        <w:spacing w:beforeLines="50" w:line="360" w:lineRule="auto"/>
        <w:ind w:firstLine="643" w:firstLineChars="200"/>
        <w:rPr>
          <w:rFonts w:asciiTheme="majorEastAsia" w:hAnsiTheme="majorEastAsia" w:eastAsiaTheme="majorEastAsia"/>
          <w:b/>
          <w:sz w:val="32"/>
          <w:szCs w:val="32"/>
        </w:rPr>
      </w:pPr>
      <w:r>
        <w:rPr>
          <w:rFonts w:asciiTheme="majorEastAsia" w:hAnsiTheme="majorEastAsia" w:eastAsiaTheme="majorEastAsia"/>
          <w:b/>
          <w:sz w:val="32"/>
          <w:szCs w:val="32"/>
        </w:rPr>
        <w:t>三、部门整体支出绩效自评情况分析</w:t>
      </w:r>
    </w:p>
    <w:p>
      <w:pPr>
        <w:spacing w:line="360" w:lineRule="auto"/>
        <w:ind w:left="479" w:leftChars="228"/>
        <w:rPr>
          <w:rFonts w:ascii="仿宋" w:hAnsi="仿宋" w:eastAsia="仿宋"/>
          <w:b/>
          <w:sz w:val="32"/>
          <w:szCs w:val="32"/>
        </w:rPr>
      </w:pPr>
      <w:r>
        <w:rPr>
          <w:rFonts w:ascii="仿宋" w:hAnsi="仿宋" w:eastAsia="仿宋"/>
          <w:b/>
          <w:sz w:val="32"/>
          <w:szCs w:val="32"/>
        </w:rPr>
        <w:t>（一）部门决算情况</w:t>
      </w:r>
    </w:p>
    <w:p>
      <w:pPr>
        <w:spacing w:line="360" w:lineRule="auto"/>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本单位</w:t>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w:t>
      </w:r>
      <w:r>
        <w:rPr>
          <w:rFonts w:hint="eastAsia" w:ascii="仿宋" w:hAnsi="仿宋" w:eastAsia="仿宋" w:cs="Times New Roman"/>
          <w:color w:val="000000"/>
          <w:kern w:val="0"/>
          <w:sz w:val="32"/>
          <w:szCs w:val="32"/>
        </w:rPr>
        <w:t>年度实际收到的财政拨款收入、支出总体情况，其中：年初结转79.62万元，本年收入2058.38万元（其中：一般公共预算财政拨款收入为1863.23万元；其他收入为195.15万元），本年支出2138万元，其中：基本支出820.6万元（人员经费734.1万元,公用经费86.5万元</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，项目支出1317.40万元。</w:t>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w:t>
      </w:r>
      <w:r>
        <w:rPr>
          <w:rFonts w:hint="eastAsia" w:ascii="仿宋" w:hAnsi="仿宋" w:eastAsia="仿宋"/>
          <w:sz w:val="32"/>
          <w:szCs w:val="32"/>
        </w:rPr>
        <w:t>度市本级资金</w:t>
      </w:r>
      <w:r>
        <w:rPr>
          <w:rFonts w:ascii="仿宋" w:hAnsi="仿宋" w:eastAsia="仿宋"/>
          <w:sz w:val="32"/>
          <w:szCs w:val="32"/>
        </w:rPr>
        <w:t>无结转和结余。</w:t>
      </w:r>
    </w:p>
    <w:p>
      <w:pPr>
        <w:spacing w:line="360" w:lineRule="auto"/>
        <w:ind w:left="479" w:leftChars="228"/>
        <w:rPr>
          <w:rFonts w:ascii="仿宋" w:hAnsi="仿宋" w:eastAsia="仿宋"/>
          <w:b/>
          <w:sz w:val="32"/>
          <w:szCs w:val="32"/>
        </w:rPr>
      </w:pPr>
      <w:r>
        <w:rPr>
          <w:rFonts w:ascii="仿宋" w:hAnsi="仿宋" w:eastAsia="仿宋"/>
          <w:b/>
          <w:sz w:val="32"/>
          <w:szCs w:val="32"/>
        </w:rPr>
        <w:t>（二）总体绩效目标完成情况分析</w:t>
      </w:r>
    </w:p>
    <w:p>
      <w:pPr>
        <w:spacing w:line="360" w:lineRule="auto"/>
        <w:ind w:firstLine="640" w:firstLineChars="200"/>
        <w:rPr>
          <w:rFonts w:ascii="仿宋" w:hAnsi="仿宋" w:eastAsia="仿宋"/>
          <w:sz w:val="32"/>
          <w:szCs w:val="32"/>
        </w:rPr>
      </w:pPr>
      <w:r>
        <w:rPr>
          <w:rFonts w:ascii="仿宋" w:hAnsi="仿宋" w:eastAsia="仿宋"/>
          <w:sz w:val="32"/>
          <w:szCs w:val="32"/>
        </w:rPr>
        <w:t>按照预算绩效全覆盖的要求，我局对202</w:t>
      </w:r>
      <w:r>
        <w:rPr>
          <w:rFonts w:hint="eastAsia" w:ascii="仿宋" w:hAnsi="仿宋" w:eastAsia="仿宋"/>
          <w:sz w:val="32"/>
          <w:szCs w:val="32"/>
        </w:rPr>
        <w:t>1</w:t>
      </w:r>
      <w:r>
        <w:rPr>
          <w:rFonts w:ascii="仿宋" w:hAnsi="仿宋" w:eastAsia="仿宋"/>
          <w:sz w:val="32"/>
          <w:szCs w:val="32"/>
        </w:rPr>
        <w:t>年部门预算所有项目进行绩效申报，并通过市财政局审核。7月进行预算项目绩效公开。9月底，按照市财政局要求报送202</w:t>
      </w:r>
      <w:r>
        <w:rPr>
          <w:rFonts w:hint="eastAsia" w:ascii="仿宋" w:hAnsi="仿宋" w:eastAsia="仿宋"/>
          <w:sz w:val="32"/>
          <w:szCs w:val="32"/>
        </w:rPr>
        <w:t>1</w:t>
      </w:r>
      <w:r>
        <w:rPr>
          <w:rFonts w:ascii="仿宋" w:hAnsi="仿宋" w:eastAsia="仿宋"/>
          <w:sz w:val="32"/>
          <w:szCs w:val="32"/>
        </w:rPr>
        <w:t>年1-8月预算绩效执行情况监督评价。绩效评价工作的开展，考察了项目实施完成率、达标率是否达到既定目标，项目实施后的环境效益、社会效益及影响力是否达到预期目标，项目监督管理机制、制度是否完善并根据评价结果，及时总结项目管理经验，完善项目管理办法，控制项目预算和进度，加强财务管理，将评价结果作为下一年度预算资金申报的重要依据，提高财政资金使用效益，最终达到环保专项资金的环境效益和社会效益。按照年初财政批复的部门整体绩效指标评价体系，我部门整体评价得分</w:t>
      </w:r>
      <w:r>
        <w:rPr>
          <w:rFonts w:hint="eastAsia" w:ascii="仿宋" w:hAnsi="仿宋" w:eastAsia="仿宋"/>
          <w:sz w:val="32"/>
          <w:szCs w:val="32"/>
        </w:rPr>
        <w:t>100</w:t>
      </w:r>
      <w:r>
        <w:rPr>
          <w:rFonts w:ascii="仿宋" w:hAnsi="仿宋" w:eastAsia="仿宋"/>
          <w:sz w:val="32"/>
          <w:szCs w:val="32"/>
        </w:rPr>
        <w:t>分。</w:t>
      </w:r>
    </w:p>
    <w:p>
      <w:pPr>
        <w:spacing w:line="360" w:lineRule="auto"/>
        <w:ind w:firstLine="643" w:firstLineChars="200"/>
        <w:rPr>
          <w:rFonts w:ascii="仿宋" w:hAnsi="仿宋" w:eastAsia="仿宋"/>
          <w:b/>
          <w:sz w:val="32"/>
          <w:szCs w:val="32"/>
        </w:rPr>
      </w:pPr>
      <w:r>
        <w:rPr>
          <w:rFonts w:ascii="仿宋" w:hAnsi="仿宋" w:eastAsia="仿宋"/>
          <w:b/>
          <w:sz w:val="32"/>
          <w:szCs w:val="32"/>
        </w:rPr>
        <w:t>(三)各项指标完成情况</w:t>
      </w:r>
      <w:r>
        <w:rPr>
          <w:rFonts w:hint="eastAsia" w:ascii="仿宋" w:hAnsi="仿宋" w:eastAsia="仿宋"/>
          <w:b/>
          <w:sz w:val="32"/>
          <w:szCs w:val="32"/>
        </w:rPr>
        <w:t>分</w:t>
      </w:r>
      <w:r>
        <w:rPr>
          <w:rFonts w:ascii="仿宋" w:hAnsi="仿宋" w:eastAsia="仿宋"/>
          <w:b/>
          <w:sz w:val="32"/>
          <w:szCs w:val="32"/>
        </w:rPr>
        <w:t>析</w:t>
      </w:r>
    </w:p>
    <w:p>
      <w:pPr>
        <w:spacing w:line="360" w:lineRule="auto"/>
        <w:ind w:firstLine="640" w:firstLineChars="200"/>
        <w:jc w:val="left"/>
        <w:rPr>
          <w:rFonts w:ascii="仿宋" w:hAnsi="仿宋" w:eastAsia="仿宋"/>
          <w:sz w:val="32"/>
          <w:szCs w:val="32"/>
        </w:rPr>
      </w:pPr>
      <w:r>
        <w:rPr>
          <w:rFonts w:ascii="仿宋" w:hAnsi="仿宋" w:eastAsia="仿宋"/>
          <w:sz w:val="32"/>
          <w:szCs w:val="32"/>
        </w:rPr>
        <w:t>部门整体支出绩效基本框架为：预算执行率、部门投入、部门履职、部门效果、影响力，权重占比分别为：10%、20%、50%、10%、10%。</w:t>
      </w:r>
      <w:r>
        <w:rPr>
          <w:rFonts w:hint="eastAsia" w:ascii="仿宋" w:hAnsi="仿宋" w:eastAsia="仿宋"/>
          <w:sz w:val="32"/>
          <w:szCs w:val="32"/>
        </w:rPr>
        <w:t>下面按照预算单位分别列示指标完成情况。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预算执行率</w:t>
      </w:r>
    </w:p>
    <w:p>
      <w:pPr>
        <w:spacing w:line="360" w:lineRule="auto"/>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年我</w:t>
      </w:r>
      <w:r>
        <w:rPr>
          <w:rFonts w:hint="eastAsia" w:ascii="仿宋" w:hAnsi="仿宋" w:eastAsia="仿宋"/>
          <w:sz w:val="32"/>
          <w:szCs w:val="32"/>
        </w:rPr>
        <w:t>单位</w:t>
      </w:r>
      <w:r>
        <w:rPr>
          <w:rFonts w:ascii="仿宋" w:hAnsi="仿宋" w:eastAsia="仿宋"/>
          <w:sz w:val="32"/>
          <w:szCs w:val="32"/>
        </w:rPr>
        <w:t>部门整体支出安排预算资金</w:t>
      </w:r>
      <w:r>
        <w:rPr>
          <w:rFonts w:hint="eastAsia" w:ascii="仿宋" w:hAnsi="仿宋" w:eastAsia="仿宋"/>
          <w:sz w:val="32"/>
          <w:szCs w:val="32"/>
        </w:rPr>
        <w:t>1755.68</w:t>
      </w:r>
      <w:r>
        <w:rPr>
          <w:rFonts w:ascii="仿宋" w:hAnsi="仿宋" w:eastAsia="仿宋"/>
          <w:sz w:val="32"/>
          <w:szCs w:val="32"/>
        </w:rPr>
        <w:t>万元，其中：基本支出</w:t>
      </w:r>
      <w:r>
        <w:rPr>
          <w:rFonts w:hint="eastAsia" w:ascii="仿宋" w:hAnsi="仿宋" w:eastAsia="仿宋"/>
          <w:sz w:val="32"/>
          <w:szCs w:val="32"/>
        </w:rPr>
        <w:t>567.68</w:t>
      </w:r>
      <w:r>
        <w:rPr>
          <w:rFonts w:ascii="仿宋" w:hAnsi="仿宋" w:eastAsia="仿宋"/>
          <w:sz w:val="32"/>
          <w:szCs w:val="32"/>
        </w:rPr>
        <w:t>万元，项目支出</w:t>
      </w:r>
      <w:r>
        <w:rPr>
          <w:rFonts w:hint="eastAsia" w:ascii="仿宋" w:hAnsi="仿宋" w:eastAsia="仿宋"/>
          <w:sz w:val="32"/>
          <w:szCs w:val="32"/>
        </w:rPr>
        <w:t>1267.61</w:t>
      </w:r>
      <w:r>
        <w:rPr>
          <w:rFonts w:ascii="仿宋" w:hAnsi="仿宋" w:eastAsia="仿宋"/>
          <w:sz w:val="32"/>
          <w:szCs w:val="32"/>
        </w:rPr>
        <w:t>万元，实际支出预算资金</w:t>
      </w:r>
      <w:r>
        <w:rPr>
          <w:rFonts w:hint="eastAsia" w:ascii="仿宋" w:hAnsi="仿宋" w:eastAsia="仿宋"/>
          <w:sz w:val="32"/>
          <w:szCs w:val="32"/>
        </w:rPr>
        <w:t>2138万元</w:t>
      </w:r>
      <w:r>
        <w:rPr>
          <w:rFonts w:ascii="仿宋" w:hAnsi="仿宋" w:eastAsia="仿宋"/>
          <w:sz w:val="32"/>
          <w:szCs w:val="32"/>
        </w:rPr>
        <w:t>分别为：</w:t>
      </w:r>
      <w:r>
        <w:rPr>
          <w:rFonts w:hint="eastAsia" w:ascii="仿宋" w:hAnsi="仿宋" w:eastAsia="仿宋"/>
          <w:sz w:val="32"/>
          <w:szCs w:val="32"/>
        </w:rPr>
        <w:t>基本支出820.6万元，项目支出1317.40万元。</w:t>
      </w:r>
      <w:r>
        <w:rPr>
          <w:rFonts w:ascii="仿宋" w:hAnsi="仿宋" w:eastAsia="仿宋"/>
          <w:sz w:val="32"/>
          <w:szCs w:val="32"/>
        </w:rPr>
        <w:t>预算执行率分别均为100%。该指标赋值10分，评价得分10分，完成年度绩效目标。</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部门投入</w:t>
      </w:r>
    </w:p>
    <w:p>
      <w:pPr>
        <w:spacing w:line="360" w:lineRule="auto"/>
        <w:ind w:firstLine="640" w:firstLineChars="200"/>
        <w:jc w:val="left"/>
        <w:rPr>
          <w:rFonts w:ascii="仿宋" w:hAnsi="仿宋" w:eastAsia="仿宋"/>
          <w:sz w:val="32"/>
          <w:szCs w:val="32"/>
        </w:rPr>
      </w:pPr>
      <w:r>
        <w:rPr>
          <w:rFonts w:ascii="仿宋" w:hAnsi="仿宋" w:eastAsia="仿宋"/>
          <w:sz w:val="32"/>
          <w:szCs w:val="32"/>
        </w:rPr>
        <w:t>部门投入包括资金投入、财务管理、人员管理、资产管理、部门工作管理。</w:t>
      </w:r>
    </w:p>
    <w:p>
      <w:pPr>
        <w:spacing w:line="360" w:lineRule="auto"/>
        <w:ind w:firstLine="640" w:firstLineChars="200"/>
        <w:jc w:val="left"/>
        <w:rPr>
          <w:rFonts w:ascii="仿宋" w:hAnsi="仿宋" w:eastAsia="仿宋"/>
          <w:sz w:val="32"/>
          <w:szCs w:val="32"/>
        </w:rPr>
      </w:pPr>
      <w:r>
        <w:rPr>
          <w:rFonts w:ascii="仿宋" w:hAnsi="仿宋" w:eastAsia="仿宋"/>
          <w:sz w:val="32"/>
          <w:szCs w:val="32"/>
        </w:rPr>
        <w:t>资金投入：202</w:t>
      </w:r>
      <w:r>
        <w:rPr>
          <w:rFonts w:hint="eastAsia" w:ascii="仿宋" w:hAnsi="仿宋" w:eastAsia="仿宋"/>
          <w:sz w:val="32"/>
          <w:szCs w:val="32"/>
        </w:rPr>
        <w:t>1</w:t>
      </w:r>
      <w:r>
        <w:rPr>
          <w:rFonts w:ascii="仿宋" w:hAnsi="仿宋" w:eastAsia="仿宋"/>
          <w:sz w:val="32"/>
          <w:szCs w:val="32"/>
        </w:rPr>
        <w:t>年部门预算</w:t>
      </w:r>
      <w:r>
        <w:rPr>
          <w:rFonts w:hint="eastAsia" w:ascii="仿宋" w:hAnsi="仿宋" w:eastAsia="仿宋"/>
          <w:sz w:val="32"/>
          <w:szCs w:val="32"/>
        </w:rPr>
        <w:t>2138</w:t>
      </w:r>
      <w:r>
        <w:rPr>
          <w:rFonts w:ascii="仿宋" w:hAnsi="仿宋" w:eastAsia="仿宋"/>
          <w:sz w:val="32"/>
          <w:szCs w:val="32"/>
        </w:rPr>
        <w:t>万元，其中：基本支出</w:t>
      </w:r>
      <w:r>
        <w:rPr>
          <w:rFonts w:hint="eastAsia" w:ascii="仿宋" w:hAnsi="仿宋" w:eastAsia="仿宋"/>
          <w:sz w:val="32"/>
          <w:szCs w:val="32"/>
        </w:rPr>
        <w:t>820.60</w:t>
      </w:r>
      <w:r>
        <w:rPr>
          <w:rFonts w:ascii="仿宋" w:hAnsi="仿宋" w:eastAsia="仿宋"/>
          <w:sz w:val="32"/>
          <w:szCs w:val="32"/>
        </w:rPr>
        <w:t>万元，项目支出</w:t>
      </w:r>
      <w:r>
        <w:rPr>
          <w:rFonts w:hint="eastAsia" w:ascii="仿宋" w:hAnsi="仿宋" w:eastAsia="仿宋"/>
          <w:sz w:val="32"/>
          <w:szCs w:val="32"/>
        </w:rPr>
        <w:t>1317.40</w:t>
      </w:r>
      <w:r>
        <w:rPr>
          <w:rFonts w:ascii="仿宋" w:hAnsi="仿宋" w:eastAsia="仿宋"/>
          <w:sz w:val="32"/>
          <w:szCs w:val="32"/>
        </w:rPr>
        <w:t>万元。当年预算执行率100%；</w:t>
      </w:r>
      <w:r>
        <w:rPr>
          <w:rFonts w:hint="eastAsia" w:ascii="仿宋" w:hAnsi="仿宋" w:eastAsia="仿宋"/>
          <w:sz w:val="32"/>
          <w:szCs w:val="32"/>
        </w:rPr>
        <w:t>我单位</w:t>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w:t>
      </w:r>
      <w:r>
        <w:rPr>
          <w:rFonts w:hint="eastAsia" w:ascii="仿宋" w:hAnsi="仿宋" w:eastAsia="仿宋"/>
          <w:sz w:val="32"/>
          <w:szCs w:val="32"/>
        </w:rPr>
        <w:t>机构执行垂直化管理</w:t>
      </w:r>
      <w:r>
        <w:rPr>
          <w:rFonts w:ascii="仿宋" w:hAnsi="仿宋" w:eastAsia="仿宋"/>
          <w:sz w:val="32"/>
          <w:szCs w:val="32"/>
        </w:rPr>
        <w:t>“三公”经费</w:t>
      </w:r>
      <w:r>
        <w:rPr>
          <w:rFonts w:hint="eastAsia" w:ascii="仿宋" w:hAnsi="仿宋" w:eastAsia="仿宋"/>
          <w:sz w:val="32"/>
          <w:szCs w:val="32"/>
        </w:rPr>
        <w:t>按照市上标准执行，当年只发生了公务车辆运行维护费用8万元（单位编制下车辆数为4辆，每辆车的运行维护费用为2万元），严格按照市级</w:t>
      </w:r>
      <w:r>
        <w:rPr>
          <w:rFonts w:ascii="仿宋" w:hAnsi="仿宋" w:eastAsia="仿宋"/>
          <w:sz w:val="32"/>
          <w:szCs w:val="32"/>
        </w:rPr>
        <w:t>“三公”经费</w:t>
      </w:r>
      <w:r>
        <w:rPr>
          <w:rFonts w:hint="eastAsia" w:ascii="仿宋" w:hAnsi="仿宋" w:eastAsia="仿宋"/>
          <w:sz w:val="32"/>
          <w:szCs w:val="32"/>
        </w:rPr>
        <w:t>规定执行，未超额支出</w:t>
      </w:r>
      <w:r>
        <w:rPr>
          <w:rFonts w:ascii="仿宋" w:hAnsi="仿宋" w:eastAsia="仿宋"/>
          <w:sz w:val="32"/>
          <w:szCs w:val="32"/>
        </w:rPr>
        <w:t>。该指标赋值</w:t>
      </w:r>
      <w:r>
        <w:rPr>
          <w:rFonts w:hint="eastAsia" w:ascii="仿宋" w:hAnsi="仿宋" w:eastAsia="仿宋"/>
          <w:sz w:val="32"/>
          <w:szCs w:val="32"/>
        </w:rPr>
        <w:t>6</w:t>
      </w:r>
      <w:r>
        <w:rPr>
          <w:rFonts w:ascii="仿宋" w:hAnsi="仿宋" w:eastAsia="仿宋"/>
          <w:sz w:val="32"/>
          <w:szCs w:val="32"/>
        </w:rPr>
        <w:t>分，评价得分</w:t>
      </w:r>
      <w:r>
        <w:rPr>
          <w:rFonts w:hint="eastAsia" w:ascii="仿宋" w:hAnsi="仿宋" w:eastAsia="仿宋"/>
          <w:sz w:val="32"/>
          <w:szCs w:val="32"/>
        </w:rPr>
        <w:t>6</w:t>
      </w:r>
      <w:r>
        <w:rPr>
          <w:rFonts w:ascii="仿宋" w:hAnsi="仿宋" w:eastAsia="仿宋"/>
          <w:sz w:val="32"/>
          <w:szCs w:val="32"/>
        </w:rPr>
        <w:t>分，完成年度绩效目标。</w:t>
      </w:r>
    </w:p>
    <w:p>
      <w:pPr>
        <w:spacing w:line="360" w:lineRule="auto"/>
        <w:ind w:firstLine="640" w:firstLineChars="200"/>
        <w:jc w:val="left"/>
        <w:rPr>
          <w:rFonts w:ascii="仿宋" w:hAnsi="仿宋" w:eastAsia="仿宋"/>
          <w:sz w:val="32"/>
          <w:szCs w:val="32"/>
        </w:rPr>
      </w:pPr>
      <w:r>
        <w:rPr>
          <w:rFonts w:ascii="仿宋" w:hAnsi="仿宋" w:eastAsia="仿宋"/>
          <w:sz w:val="32"/>
          <w:szCs w:val="32"/>
        </w:rPr>
        <w:t>财务管理：202</w:t>
      </w:r>
      <w:r>
        <w:rPr>
          <w:rFonts w:hint="eastAsia" w:ascii="仿宋" w:hAnsi="仿宋" w:eastAsia="仿宋"/>
          <w:sz w:val="32"/>
          <w:szCs w:val="32"/>
        </w:rPr>
        <w:t>1</w:t>
      </w:r>
      <w:r>
        <w:rPr>
          <w:rFonts w:ascii="仿宋" w:hAnsi="仿宋" w:eastAsia="仿宋"/>
          <w:sz w:val="32"/>
          <w:szCs w:val="32"/>
        </w:rPr>
        <w:t>年我单位进一步完善财务管理体制和运行机制、建立科学化、精细化的预算管理机制、建立绩效评价制度、加快财务监管体系建设、提高经费使用效益、强化财务风险管理。提高预算编制的科学性、准确性，按照“量入为出，统筹兼顾、保证重点、收支平衡”的原则，科学合理编制预算，强化预算执行，提高预算执行效率，推进预算公开。加强财务监督和绩效评价，把绩效管理的理念和方法引入预算管理，逐步建立起以强化资金使用效益为核心的绩效评价体系。进一步完善财务监督制度，强化重大项目经费的全过程审计。该指标赋值</w:t>
      </w:r>
      <w:r>
        <w:rPr>
          <w:rFonts w:hint="eastAsia" w:ascii="仿宋" w:hAnsi="仿宋" w:eastAsia="仿宋"/>
          <w:sz w:val="32"/>
          <w:szCs w:val="32"/>
        </w:rPr>
        <w:t>4.5</w:t>
      </w:r>
      <w:r>
        <w:rPr>
          <w:rFonts w:ascii="仿宋" w:hAnsi="仿宋" w:eastAsia="仿宋"/>
          <w:sz w:val="32"/>
          <w:szCs w:val="32"/>
        </w:rPr>
        <w:t>分，评价得分</w:t>
      </w:r>
      <w:r>
        <w:rPr>
          <w:rFonts w:hint="eastAsia" w:ascii="仿宋" w:hAnsi="仿宋" w:eastAsia="仿宋"/>
          <w:sz w:val="32"/>
          <w:szCs w:val="32"/>
        </w:rPr>
        <w:t>4.5</w:t>
      </w:r>
      <w:r>
        <w:rPr>
          <w:rFonts w:ascii="仿宋" w:hAnsi="仿宋" w:eastAsia="仿宋"/>
          <w:sz w:val="32"/>
          <w:szCs w:val="32"/>
        </w:rPr>
        <w:t>分，完成年度绩效目标。</w:t>
      </w:r>
    </w:p>
    <w:p>
      <w:pPr>
        <w:spacing w:line="360" w:lineRule="auto"/>
        <w:ind w:firstLine="640" w:firstLineChars="200"/>
        <w:jc w:val="left"/>
        <w:rPr>
          <w:rFonts w:ascii="仿宋" w:hAnsi="仿宋" w:eastAsia="仿宋"/>
          <w:sz w:val="32"/>
          <w:szCs w:val="32"/>
        </w:rPr>
      </w:pPr>
      <w:r>
        <w:rPr>
          <w:rFonts w:ascii="仿宋" w:hAnsi="仿宋" w:eastAsia="仿宋"/>
          <w:sz w:val="32"/>
          <w:szCs w:val="32"/>
        </w:rPr>
        <w:t>人员管理：我</w:t>
      </w:r>
      <w:r>
        <w:rPr>
          <w:rFonts w:hint="eastAsia" w:ascii="仿宋" w:hAnsi="仿宋" w:eastAsia="仿宋"/>
          <w:sz w:val="32"/>
          <w:szCs w:val="32"/>
        </w:rPr>
        <w:t>单位2021</w:t>
      </w:r>
      <w:r>
        <w:rPr>
          <w:rFonts w:ascii="仿宋" w:hAnsi="仿宋" w:eastAsia="仿宋"/>
          <w:sz w:val="32"/>
          <w:szCs w:val="32"/>
        </w:rPr>
        <w:t>年调出1人，</w:t>
      </w:r>
      <w:r>
        <w:rPr>
          <w:rFonts w:hint="eastAsia" w:ascii="仿宋" w:hAnsi="仿宋" w:eastAsia="仿宋"/>
          <w:sz w:val="32"/>
          <w:szCs w:val="32"/>
        </w:rPr>
        <w:t>调入1人，退休2人，</w:t>
      </w:r>
      <w:r>
        <w:rPr>
          <w:rFonts w:ascii="仿宋" w:hAnsi="仿宋" w:eastAsia="仿宋"/>
          <w:sz w:val="32"/>
          <w:szCs w:val="32"/>
        </w:rPr>
        <w:t>人员合理。该指标赋值</w:t>
      </w:r>
      <w:r>
        <w:rPr>
          <w:rFonts w:hint="eastAsia" w:ascii="仿宋" w:hAnsi="仿宋" w:eastAsia="仿宋"/>
          <w:sz w:val="32"/>
          <w:szCs w:val="32"/>
        </w:rPr>
        <w:t>3.5</w:t>
      </w:r>
      <w:r>
        <w:rPr>
          <w:rFonts w:ascii="仿宋" w:hAnsi="仿宋" w:eastAsia="仿宋"/>
          <w:sz w:val="32"/>
          <w:szCs w:val="32"/>
        </w:rPr>
        <w:t>分，评价得分</w:t>
      </w:r>
      <w:r>
        <w:rPr>
          <w:rFonts w:hint="eastAsia" w:ascii="仿宋" w:hAnsi="仿宋" w:eastAsia="仿宋"/>
          <w:sz w:val="32"/>
          <w:szCs w:val="32"/>
        </w:rPr>
        <w:t>3.5</w:t>
      </w:r>
      <w:r>
        <w:rPr>
          <w:rFonts w:ascii="仿宋" w:hAnsi="仿宋" w:eastAsia="仿宋"/>
          <w:sz w:val="32"/>
          <w:szCs w:val="32"/>
        </w:rPr>
        <w:t>分，完成年度绩效目标。</w:t>
      </w:r>
    </w:p>
    <w:p>
      <w:pPr>
        <w:spacing w:line="360" w:lineRule="auto"/>
        <w:ind w:firstLine="640" w:firstLineChars="200"/>
        <w:jc w:val="left"/>
        <w:rPr>
          <w:rFonts w:ascii="仿宋" w:hAnsi="仿宋" w:eastAsia="仿宋"/>
          <w:sz w:val="32"/>
          <w:szCs w:val="32"/>
        </w:rPr>
      </w:pPr>
      <w:r>
        <w:rPr>
          <w:rFonts w:ascii="仿宋" w:hAnsi="仿宋" w:eastAsia="仿宋"/>
          <w:sz w:val="32"/>
          <w:szCs w:val="32"/>
        </w:rPr>
        <w:t>资产管理：进一步完善资产管理制度建设，提升资产管理水平。该指标赋值</w:t>
      </w:r>
      <w:r>
        <w:rPr>
          <w:rFonts w:hint="eastAsia" w:ascii="仿宋" w:hAnsi="仿宋" w:eastAsia="仿宋"/>
          <w:sz w:val="32"/>
          <w:szCs w:val="32"/>
        </w:rPr>
        <w:t>3</w:t>
      </w:r>
      <w:r>
        <w:rPr>
          <w:rFonts w:ascii="仿宋" w:hAnsi="仿宋" w:eastAsia="仿宋"/>
          <w:sz w:val="32"/>
          <w:szCs w:val="32"/>
        </w:rPr>
        <w:t>分，评价得分</w:t>
      </w:r>
      <w:r>
        <w:rPr>
          <w:rFonts w:hint="eastAsia" w:ascii="仿宋" w:hAnsi="仿宋" w:eastAsia="仿宋"/>
          <w:sz w:val="32"/>
          <w:szCs w:val="32"/>
        </w:rPr>
        <w:t>3</w:t>
      </w:r>
      <w:r>
        <w:rPr>
          <w:rFonts w:ascii="仿宋" w:hAnsi="仿宋" w:eastAsia="仿宋"/>
          <w:sz w:val="32"/>
          <w:szCs w:val="32"/>
        </w:rPr>
        <w:t>分，完成年度绩效目标。</w:t>
      </w:r>
    </w:p>
    <w:p>
      <w:pPr>
        <w:spacing w:line="360" w:lineRule="auto"/>
        <w:ind w:firstLine="640" w:firstLineChars="200"/>
        <w:jc w:val="left"/>
        <w:rPr>
          <w:rFonts w:ascii="仿宋" w:hAnsi="仿宋" w:eastAsia="仿宋"/>
          <w:sz w:val="32"/>
          <w:szCs w:val="32"/>
        </w:rPr>
      </w:pPr>
      <w:r>
        <w:rPr>
          <w:rFonts w:ascii="仿宋" w:hAnsi="仿宋" w:eastAsia="仿宋"/>
          <w:sz w:val="32"/>
          <w:szCs w:val="32"/>
        </w:rPr>
        <w:t>部门工作管理：完成重点工作管理制度建设及年度重点工作。该指标赋值</w:t>
      </w:r>
      <w:r>
        <w:rPr>
          <w:rFonts w:hint="eastAsia" w:ascii="仿宋" w:hAnsi="仿宋" w:eastAsia="仿宋"/>
          <w:sz w:val="32"/>
          <w:szCs w:val="32"/>
        </w:rPr>
        <w:t>3</w:t>
      </w:r>
      <w:r>
        <w:rPr>
          <w:rFonts w:ascii="仿宋" w:hAnsi="仿宋" w:eastAsia="仿宋"/>
          <w:sz w:val="32"/>
          <w:szCs w:val="32"/>
        </w:rPr>
        <w:t>分，评价得分</w:t>
      </w:r>
      <w:r>
        <w:rPr>
          <w:rFonts w:hint="eastAsia" w:ascii="仿宋" w:hAnsi="仿宋" w:eastAsia="仿宋"/>
          <w:sz w:val="32"/>
          <w:szCs w:val="32"/>
        </w:rPr>
        <w:t>3</w:t>
      </w:r>
      <w:r>
        <w:rPr>
          <w:rFonts w:ascii="仿宋" w:hAnsi="仿宋" w:eastAsia="仿宋"/>
          <w:sz w:val="32"/>
          <w:szCs w:val="32"/>
        </w:rPr>
        <w:t>分，完成年度绩效目标。</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部门履职</w:t>
      </w:r>
    </w:p>
    <w:p>
      <w:pPr>
        <w:spacing w:line="360" w:lineRule="auto"/>
        <w:ind w:firstLine="640" w:firstLineChars="200"/>
        <w:jc w:val="left"/>
        <w:rPr>
          <w:rFonts w:ascii="仿宋" w:hAnsi="仿宋" w:eastAsia="仿宋"/>
          <w:sz w:val="32"/>
          <w:szCs w:val="32"/>
        </w:rPr>
      </w:pPr>
      <w:r>
        <w:rPr>
          <w:rFonts w:ascii="仿宋" w:hAnsi="仿宋" w:eastAsia="仿宋"/>
          <w:sz w:val="32"/>
          <w:szCs w:val="32"/>
        </w:rPr>
        <w:t>部门履职包括保障机关正常运行、</w:t>
      </w:r>
      <w:r>
        <w:rPr>
          <w:rFonts w:hint="eastAsia" w:ascii="仿宋" w:hAnsi="仿宋" w:eastAsia="仿宋"/>
          <w:sz w:val="32"/>
          <w:szCs w:val="32"/>
        </w:rPr>
        <w:t>水污染监管</w:t>
      </w:r>
      <w:r>
        <w:rPr>
          <w:rFonts w:ascii="仿宋" w:hAnsi="仿宋" w:eastAsia="仿宋"/>
          <w:sz w:val="32"/>
          <w:szCs w:val="32"/>
        </w:rPr>
        <w:t>、</w:t>
      </w:r>
      <w:r>
        <w:rPr>
          <w:rFonts w:hint="eastAsia" w:ascii="仿宋" w:hAnsi="仿宋" w:eastAsia="仿宋"/>
          <w:sz w:val="32"/>
          <w:szCs w:val="32"/>
        </w:rPr>
        <w:t>污染源监管</w:t>
      </w:r>
      <w:r>
        <w:rPr>
          <w:rFonts w:ascii="仿宋" w:hAnsi="仿宋" w:eastAsia="仿宋"/>
          <w:sz w:val="32"/>
          <w:szCs w:val="32"/>
        </w:rPr>
        <w:t>、</w:t>
      </w:r>
      <w:r>
        <w:rPr>
          <w:rFonts w:hint="eastAsia" w:ascii="仿宋" w:hAnsi="仿宋" w:eastAsia="仿宋"/>
          <w:sz w:val="32"/>
          <w:szCs w:val="32"/>
        </w:rPr>
        <w:t>应急储备</w:t>
      </w:r>
      <w:r>
        <w:rPr>
          <w:rFonts w:ascii="仿宋" w:hAnsi="仿宋" w:eastAsia="仿宋"/>
          <w:sz w:val="32"/>
          <w:szCs w:val="32"/>
        </w:rPr>
        <w:t>及</w:t>
      </w:r>
      <w:r>
        <w:rPr>
          <w:rFonts w:hint="eastAsia" w:ascii="仿宋" w:hAnsi="仿宋" w:eastAsia="仿宋"/>
          <w:sz w:val="32"/>
          <w:szCs w:val="32"/>
        </w:rPr>
        <w:t>其他监管</w:t>
      </w:r>
      <w:r>
        <w:rPr>
          <w:rFonts w:ascii="仿宋" w:hAnsi="仿宋" w:eastAsia="仿宋"/>
          <w:sz w:val="32"/>
          <w:szCs w:val="32"/>
        </w:rPr>
        <w:t>。</w:t>
      </w:r>
    </w:p>
    <w:p>
      <w:pPr>
        <w:spacing w:line="360" w:lineRule="auto"/>
        <w:ind w:firstLine="640" w:firstLineChars="200"/>
        <w:jc w:val="left"/>
        <w:rPr>
          <w:rFonts w:ascii="仿宋" w:hAnsi="仿宋" w:eastAsia="仿宋"/>
          <w:sz w:val="32"/>
          <w:szCs w:val="32"/>
        </w:rPr>
      </w:pPr>
      <w:r>
        <w:rPr>
          <w:rFonts w:ascii="仿宋" w:hAnsi="仿宋" w:eastAsia="仿宋"/>
          <w:sz w:val="32"/>
          <w:szCs w:val="32"/>
        </w:rPr>
        <w:t>保障机关正常运行：202</w:t>
      </w:r>
      <w:r>
        <w:rPr>
          <w:rFonts w:hint="eastAsia" w:ascii="仿宋" w:hAnsi="仿宋" w:eastAsia="仿宋"/>
          <w:sz w:val="32"/>
          <w:szCs w:val="32"/>
        </w:rPr>
        <w:t>1</w:t>
      </w:r>
      <w:r>
        <w:rPr>
          <w:rFonts w:ascii="仿宋" w:hAnsi="仿宋" w:eastAsia="仿宋"/>
          <w:sz w:val="32"/>
          <w:szCs w:val="32"/>
        </w:rPr>
        <w:t>年我</w:t>
      </w:r>
      <w:r>
        <w:rPr>
          <w:rFonts w:hint="eastAsia" w:ascii="仿宋" w:hAnsi="仿宋" w:eastAsia="仿宋"/>
          <w:sz w:val="32"/>
          <w:szCs w:val="32"/>
        </w:rPr>
        <w:t>单位</w:t>
      </w:r>
      <w:r>
        <w:rPr>
          <w:rFonts w:ascii="仿宋" w:hAnsi="仿宋" w:eastAsia="仿宋"/>
          <w:sz w:val="32"/>
          <w:szCs w:val="32"/>
        </w:rPr>
        <w:t>办公运行费</w:t>
      </w:r>
      <w:r>
        <w:rPr>
          <w:rFonts w:hint="eastAsia" w:ascii="仿宋" w:hAnsi="仿宋" w:eastAsia="仿宋"/>
          <w:sz w:val="32"/>
          <w:szCs w:val="32"/>
        </w:rPr>
        <w:t>9.43</w:t>
      </w:r>
      <w:r>
        <w:rPr>
          <w:rFonts w:ascii="仿宋" w:hAnsi="仿宋" w:eastAsia="仿宋"/>
          <w:sz w:val="32"/>
          <w:szCs w:val="32"/>
        </w:rPr>
        <w:t>万元，</w:t>
      </w:r>
      <w:r>
        <w:rPr>
          <w:rFonts w:hint="eastAsia" w:ascii="仿宋" w:hAnsi="仿宋" w:eastAsia="仿宋"/>
          <w:sz w:val="32"/>
          <w:szCs w:val="32"/>
        </w:rPr>
        <w:t>其中：</w:t>
      </w:r>
      <w:r>
        <w:rPr>
          <w:rFonts w:ascii="仿宋" w:hAnsi="仿宋" w:eastAsia="仿宋"/>
          <w:sz w:val="32"/>
          <w:szCs w:val="32"/>
        </w:rPr>
        <w:t>邮电费</w:t>
      </w:r>
      <w:r>
        <w:rPr>
          <w:rFonts w:hint="eastAsia" w:ascii="仿宋" w:hAnsi="仿宋" w:eastAsia="仿宋"/>
          <w:sz w:val="32"/>
          <w:szCs w:val="32"/>
        </w:rPr>
        <w:t>2</w:t>
      </w:r>
      <w:r>
        <w:rPr>
          <w:rFonts w:ascii="仿宋" w:hAnsi="仿宋" w:eastAsia="仿宋"/>
          <w:sz w:val="32"/>
          <w:szCs w:val="32"/>
        </w:rPr>
        <w:t>万元，</w:t>
      </w:r>
      <w:r>
        <w:rPr>
          <w:rFonts w:hint="eastAsia" w:ascii="仿宋" w:hAnsi="仿宋" w:eastAsia="仿宋"/>
          <w:sz w:val="32"/>
          <w:szCs w:val="32"/>
        </w:rPr>
        <w:t>电费2.4万元，水费1.2万元，</w:t>
      </w:r>
      <w:r>
        <w:rPr>
          <w:rFonts w:ascii="仿宋" w:hAnsi="仿宋" w:eastAsia="仿宋"/>
          <w:sz w:val="32"/>
          <w:szCs w:val="32"/>
        </w:rPr>
        <w:t>差旅费支出</w:t>
      </w:r>
      <w:r>
        <w:rPr>
          <w:rFonts w:hint="eastAsia" w:ascii="仿宋" w:hAnsi="仿宋" w:eastAsia="仿宋"/>
          <w:sz w:val="32"/>
          <w:szCs w:val="32"/>
        </w:rPr>
        <w:t>12.71</w:t>
      </w:r>
      <w:r>
        <w:rPr>
          <w:rFonts w:ascii="仿宋" w:hAnsi="仿宋" w:eastAsia="仿宋"/>
          <w:sz w:val="32"/>
          <w:szCs w:val="32"/>
        </w:rPr>
        <w:t>万元，</w:t>
      </w:r>
      <w:r>
        <w:rPr>
          <w:rFonts w:hint="eastAsia" w:ascii="仿宋" w:hAnsi="仿宋" w:eastAsia="仿宋"/>
          <w:sz w:val="32"/>
          <w:szCs w:val="32"/>
        </w:rPr>
        <w:t>取暖费7万元，</w:t>
      </w:r>
      <w:r>
        <w:rPr>
          <w:rFonts w:ascii="仿宋" w:hAnsi="仿宋" w:eastAsia="仿宋"/>
          <w:sz w:val="32"/>
          <w:szCs w:val="32"/>
        </w:rPr>
        <w:t>均按年度预算指标执行，较好的保证了机关事务的正常运行。该指标赋值</w:t>
      </w:r>
      <w:r>
        <w:rPr>
          <w:rFonts w:hint="eastAsia" w:ascii="仿宋" w:hAnsi="仿宋" w:eastAsia="仿宋"/>
          <w:sz w:val="32"/>
          <w:szCs w:val="32"/>
        </w:rPr>
        <w:t>3</w:t>
      </w:r>
      <w:r>
        <w:rPr>
          <w:rFonts w:ascii="仿宋" w:hAnsi="仿宋" w:eastAsia="仿宋"/>
          <w:sz w:val="32"/>
          <w:szCs w:val="32"/>
        </w:rPr>
        <w:t>分，评价得分</w:t>
      </w:r>
      <w:r>
        <w:rPr>
          <w:rFonts w:hint="eastAsia" w:ascii="仿宋" w:hAnsi="仿宋" w:eastAsia="仿宋"/>
          <w:sz w:val="32"/>
          <w:szCs w:val="32"/>
        </w:rPr>
        <w:t>3</w:t>
      </w:r>
      <w:r>
        <w:rPr>
          <w:rFonts w:ascii="仿宋" w:hAnsi="仿宋" w:eastAsia="仿宋"/>
          <w:sz w:val="32"/>
          <w:szCs w:val="32"/>
        </w:rPr>
        <w:t>分。</w:t>
      </w:r>
    </w:p>
    <w:p>
      <w:pPr>
        <w:autoSpaceDE w:val="0"/>
        <w:autoSpaceDN w:val="0"/>
        <w:adjustRightInd w:val="0"/>
        <w:snapToGrid w:val="0"/>
        <w:spacing w:line="560" w:lineRule="exact"/>
        <w:ind w:firstLine="640" w:firstLineChars="200"/>
        <w:textAlignment w:val="baseline"/>
        <w:rPr>
          <w:rFonts w:hAnsi="仿宋" w:eastAsia="仿宋"/>
          <w:sz w:val="32"/>
          <w:szCs w:val="32"/>
        </w:rPr>
      </w:pPr>
      <w:r>
        <w:rPr>
          <w:rFonts w:hint="eastAsia" w:ascii="仿宋" w:hAnsi="仿宋" w:eastAsia="仿宋"/>
          <w:sz w:val="32"/>
          <w:szCs w:val="32"/>
        </w:rPr>
        <w:t>水污染监管</w:t>
      </w:r>
      <w:r>
        <w:rPr>
          <w:rFonts w:ascii="仿宋" w:hAnsi="仿宋" w:eastAsia="仿宋"/>
          <w:sz w:val="32"/>
          <w:szCs w:val="32"/>
        </w:rPr>
        <w:t>：完成了西固区城市饮用水水源地环境保护一、二期工程</w:t>
      </w:r>
      <w:r>
        <w:rPr>
          <w:rFonts w:hint="eastAsia" w:ascii="仿宋" w:hAnsi="仿宋" w:eastAsia="仿宋"/>
          <w:sz w:val="32"/>
          <w:szCs w:val="32"/>
        </w:rPr>
        <w:t>。</w:t>
      </w:r>
      <w:r>
        <w:rPr>
          <w:rStyle w:val="12"/>
          <w:rFonts w:ascii="Calibri" w:hAnsi="仿宋" w:eastAsia="仿宋" w:cs="Times New Roman"/>
          <w:color w:val="000000"/>
          <w:sz w:val="32"/>
          <w:szCs w:val="32"/>
        </w:rPr>
        <w:t>兰州市城市生活饮用水水源地保护工程的实施，具有环境保护和污染治理的示范意义，不仅</w:t>
      </w:r>
      <w:r>
        <w:rPr>
          <w:rStyle w:val="12"/>
          <w:rFonts w:ascii="Calibri" w:hAnsi="仿宋" w:eastAsia="仿宋" w:cs="Times New Roman"/>
          <w:sz w:val="32"/>
          <w:szCs w:val="32"/>
        </w:rPr>
        <w:t>建立了良好的水源保护屏障，进一步强化了水源地保护区的规范化建设和管理，</w:t>
      </w:r>
      <w:r>
        <w:rPr>
          <w:rStyle w:val="12"/>
          <w:rFonts w:ascii="Calibri" w:hAnsi="仿宋" w:eastAsia="仿宋" w:cs="Times New Roman"/>
          <w:color w:val="000000"/>
          <w:sz w:val="32"/>
          <w:szCs w:val="32"/>
        </w:rPr>
        <w:t>而且使水源地水质保持或优于Ⅲ类标准，有效预防饮用水水源遭受污染，切实保障人民群众饮水安全。</w:t>
      </w:r>
      <w:r>
        <w:rPr>
          <w:rStyle w:val="12"/>
          <w:rFonts w:ascii="Calibri" w:hAnsi="仿宋" w:eastAsia="仿宋" w:cs="Times New Roman"/>
          <w:sz w:val="32"/>
          <w:szCs w:val="32"/>
        </w:rPr>
        <w:t>兰州市城市生活饮用水水源地位于西固区，水源保护区沿河道总长度</w:t>
      </w:r>
      <w:r>
        <w:rPr>
          <w:rStyle w:val="12"/>
          <w:rFonts w:ascii="Calibri" w:hAnsi="Calibri" w:eastAsia="仿宋" w:cs="Times New Roman"/>
          <w:sz w:val="32"/>
          <w:szCs w:val="32"/>
        </w:rPr>
        <w:t>23.8</w:t>
      </w:r>
      <w:r>
        <w:rPr>
          <w:rStyle w:val="12"/>
          <w:rFonts w:ascii="Calibri" w:hAnsi="仿宋" w:eastAsia="仿宋" w:cs="Times New Roman"/>
          <w:sz w:val="32"/>
          <w:szCs w:val="32"/>
        </w:rPr>
        <w:t>公里，总面积</w:t>
      </w:r>
      <w:r>
        <w:rPr>
          <w:rStyle w:val="12"/>
          <w:rFonts w:ascii="Calibri" w:hAnsi="Calibri" w:eastAsia="仿宋" w:cs="Times New Roman"/>
          <w:sz w:val="32"/>
          <w:szCs w:val="32"/>
        </w:rPr>
        <w:t>57.26</w:t>
      </w:r>
      <w:r>
        <w:rPr>
          <w:rStyle w:val="12"/>
          <w:rFonts w:ascii="Calibri" w:hAnsi="仿宋" w:eastAsia="仿宋" w:cs="Times New Roman"/>
          <w:sz w:val="32"/>
          <w:szCs w:val="32"/>
        </w:rPr>
        <w:t>平方公里，承担着全市</w:t>
      </w:r>
      <w:r>
        <w:rPr>
          <w:rStyle w:val="12"/>
          <w:rFonts w:ascii="Calibri" w:hAnsi="Calibri" w:eastAsia="仿宋" w:cs="Times New Roman"/>
          <w:sz w:val="32"/>
          <w:szCs w:val="32"/>
        </w:rPr>
        <w:t>360</w:t>
      </w:r>
      <w:r>
        <w:rPr>
          <w:rStyle w:val="12"/>
          <w:rFonts w:ascii="Calibri" w:hAnsi="仿宋" w:eastAsia="仿宋" w:cs="Times New Roman"/>
          <w:sz w:val="32"/>
          <w:szCs w:val="32"/>
        </w:rPr>
        <w:t>万人口的饮用水供给，责任重大，任务艰巨。</w:t>
      </w:r>
      <w:r>
        <w:rPr>
          <w:rStyle w:val="12"/>
          <w:rFonts w:ascii="Calibri" w:hAnsi="仿宋" w:eastAsia="仿宋" w:cs="Times New Roman"/>
          <w:color w:val="000000"/>
          <w:sz w:val="32"/>
          <w:szCs w:val="32"/>
        </w:rPr>
        <w:t>为全面保障人民群众生活用水安全，</w:t>
      </w:r>
      <w:r>
        <w:rPr>
          <w:rStyle w:val="12"/>
          <w:rFonts w:ascii="Calibri" w:hAnsi="Calibri" w:eastAsia="仿宋" w:cs="Times New Roman"/>
          <w:color w:val="000000"/>
          <w:sz w:val="32"/>
          <w:szCs w:val="32"/>
        </w:rPr>
        <w:t xml:space="preserve"> 2013</w:t>
      </w:r>
      <w:r>
        <w:rPr>
          <w:rStyle w:val="12"/>
          <w:rFonts w:ascii="Calibri" w:hAnsi="仿宋" w:eastAsia="仿宋" w:cs="Times New Roman"/>
          <w:color w:val="000000"/>
          <w:sz w:val="32"/>
          <w:szCs w:val="32"/>
        </w:rPr>
        <w:t>年开始，市政府拨付水源地保护专项资金，用于水源地清理整治、土地流转和日常管护，西固区政府于</w:t>
      </w:r>
      <w:r>
        <w:rPr>
          <w:rStyle w:val="12"/>
          <w:rFonts w:ascii="Calibri" w:hAnsi="Calibri" w:eastAsia="仿宋" w:cs="Times New Roman"/>
          <w:color w:val="000000"/>
          <w:sz w:val="32"/>
          <w:szCs w:val="32"/>
        </w:rPr>
        <w:t>2013</w:t>
      </w:r>
      <w:r>
        <w:rPr>
          <w:rStyle w:val="12"/>
          <w:rFonts w:ascii="Calibri" w:hAnsi="仿宋" w:eastAsia="仿宋" w:cs="Times New Roman"/>
          <w:color w:val="000000"/>
          <w:sz w:val="32"/>
          <w:szCs w:val="32"/>
        </w:rPr>
        <w:t>年年底开展水源地清理整治工作，对水源保护区进行了彻底清理整治，</w:t>
      </w:r>
      <w:r>
        <w:rPr>
          <w:rStyle w:val="12"/>
          <w:rFonts w:ascii="Calibri" w:hAnsi="仿宋" w:eastAsia="仿宋" w:cs="Times New Roman"/>
          <w:sz w:val="32"/>
          <w:szCs w:val="32"/>
        </w:rPr>
        <w:t>共</w:t>
      </w:r>
      <w:r>
        <w:rPr>
          <w:rStyle w:val="12"/>
          <w:rFonts w:ascii="Calibri" w:hAnsi="仿宋" w:eastAsia="仿宋" w:cs="Times New Roman"/>
          <w:color w:val="000000"/>
          <w:sz w:val="32"/>
          <w:szCs w:val="32"/>
        </w:rPr>
        <w:t>搬迁木材经营户25户，拆除住宅9户、非宅14户、企业13家, 拆除房屋面积共计11300平方米，流转土地528亩，清运垃圾4.15万吨，设置围栏5200米，围网小标志牌4000余块，设立道路警示牌26块，界标52块，界碑8块</w:t>
      </w:r>
      <w:r>
        <w:rPr>
          <w:rStyle w:val="12"/>
          <w:rFonts w:ascii="Calibri" w:hAnsi="仿宋" w:eastAsia="仿宋" w:cs="Times New Roman"/>
          <w:sz w:val="32"/>
          <w:szCs w:val="32"/>
        </w:rPr>
        <w:t>，</w:t>
      </w:r>
      <w:r>
        <w:rPr>
          <w:rStyle w:val="12"/>
          <w:rFonts w:ascii="Calibri" w:hAnsi="仿宋" w:eastAsia="仿宋" w:cs="Times New Roman"/>
          <w:color w:val="000000"/>
          <w:sz w:val="32"/>
          <w:szCs w:val="32"/>
        </w:rPr>
        <w:t>实现了一级保护区封闭式管理。</w:t>
      </w:r>
    </w:p>
    <w:p>
      <w:pPr>
        <w:spacing w:line="360" w:lineRule="auto"/>
        <w:ind w:firstLine="640" w:firstLineChars="200"/>
        <w:jc w:val="left"/>
        <w:rPr>
          <w:rFonts w:ascii="仿宋" w:hAnsi="仿宋" w:eastAsia="仿宋"/>
          <w:sz w:val="32"/>
          <w:szCs w:val="32"/>
        </w:rPr>
      </w:pPr>
      <w:r>
        <w:rPr>
          <w:rFonts w:ascii="仿宋" w:hAnsi="仿宋" w:eastAsia="仿宋"/>
          <w:sz w:val="32"/>
          <w:szCs w:val="32"/>
        </w:rPr>
        <w:t>污染源</w:t>
      </w:r>
      <w:r>
        <w:rPr>
          <w:rFonts w:hint="eastAsia" w:ascii="仿宋" w:hAnsi="仿宋" w:eastAsia="仿宋"/>
          <w:sz w:val="32"/>
          <w:szCs w:val="32"/>
        </w:rPr>
        <w:t>监管</w:t>
      </w:r>
      <w:r>
        <w:rPr>
          <w:rFonts w:ascii="仿宋" w:hAnsi="仿宋" w:eastAsia="仿宋"/>
          <w:sz w:val="32"/>
          <w:szCs w:val="32"/>
        </w:rPr>
        <w:t>：</w:t>
      </w:r>
      <w:r>
        <w:rPr>
          <w:rFonts w:hint="eastAsia" w:ascii="仿宋" w:hAnsi="仿宋" w:eastAsia="仿宋"/>
          <w:sz w:val="32"/>
          <w:szCs w:val="32"/>
        </w:rPr>
        <w:t>贯彻落实甘肃省生态环境厅《关于开展甘肃省污染源普查动态更新调查工作的通知》(甘环办发〔2020〕69号)要求，以兰州市第二次全国污染源普查为基础，调查统计2019年度污染源数据，实现污染源普查数据的动态更新，确保甘肃省污染源普查数据结果的时效性与准确性，为“十四五”生态环境管理决策提供基础数据；奠定“十四五”环境统计和污染减排工作基础，同时保证“十三五”后期各项环境管理统计和污染减排工作的连续性。更新调查工作由省生态环境厅统一组织开展，由省污染源普査工作办公室和省生态环境统计与数据中心具体负责。市生态环境局负责全市动态更新调查的总体调度工作。县区生态环境分局建立健全更新调查工作机制，建立主管领导负责、分工明确的数据更新工作运行机制及相应的工作制度。发挥好生态环境系统内各部门和技术支持单位的作用，可借助购买第三方服务和信息化手段，提高调查效率。市生态环境综合执法队及各区县分局负责配合开展现场调查，进行监督执法。</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完成年度监测工作计划，对VOCs企业(1次/年)、大中型医疗机构废水(4次/年)，达川河口乡镇饮用水水源地水质(1次/年)、农村村庄生活污水(2次/年)等、其他区控重点污染源企业监督性监测(1次/年)、采暖期锅炉(1次/采暖季)开展监督性监测，对下达的执法监测、投诉、应急监测指令开展监测。监督区控重点企业污染物排放情况，为全区环境监管、环境违法行为查处、投诉应急问题处置工作提供保障。</w:t>
      </w:r>
      <w:r>
        <w:rPr>
          <w:rFonts w:ascii="仿宋" w:hAnsi="仿宋" w:eastAsia="仿宋"/>
          <w:sz w:val="32"/>
          <w:szCs w:val="32"/>
        </w:rPr>
        <w:t xml:space="preserve"> </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应急储备</w:t>
      </w:r>
      <w:r>
        <w:rPr>
          <w:rFonts w:ascii="仿宋" w:hAnsi="仿宋" w:eastAsia="仿宋"/>
          <w:sz w:val="32"/>
          <w:szCs w:val="32"/>
        </w:rPr>
        <w:t>：</w:t>
      </w:r>
      <w:r>
        <w:rPr>
          <w:rFonts w:hint="eastAsia" w:ascii="仿宋" w:hAnsi="仿宋" w:eastAsia="仿宋"/>
          <w:sz w:val="32"/>
          <w:szCs w:val="32"/>
        </w:rPr>
        <w:t>根据兰州市生态环境局关于应发《兰州市环境应急物资储备库管理使用办法（试行）》的通知（兰环发（2020）53号文）购置应急物资20万元(若发生突发性事件，应急物资无法有效保障，建立完善西固区生态环境应急防护物资的储备。</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其他监管：根据年度任务要求，制定西固区生态环境监测工作方案，明确工作任务、措施及时限要求。严格按照《兰州市2017-2018年政府集中采购目录和采购限额标准》(兰财采[2017]10号)、《兰州市环境保护局财务管理制度》(兰环发[2014]92号)制度要求，确保项目顺利实施。</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按照国家、省、市生态环境部门确定的年度环境法制工作要点，开展法治政府建设相关工作；规范环境执法工作，提升环境执法水平，进行环境法治宣传活动。环境执法保障确保污染防治工作稳步推进，防止发生环境污染事件，提升环境管理能力，配合完成各类中央、省市环境检查和督政督企工作，圆满完成全年环保工作列支该项经费。主要用于预防污染，遏制污染物浓度上升势头，保障公众身体健康，开展的各项生态执法行动；突发性应急事件环保行动；应对中央、省级督促检查开展的各项工作；企业排污行为监管；污染排查、督查、专项检查；监管能力提升及其他环保专项检查工作的开展等。</w:t>
      </w:r>
    </w:p>
    <w:p>
      <w:pPr>
        <w:spacing w:line="360" w:lineRule="auto"/>
        <w:ind w:firstLine="640" w:firstLineChars="200"/>
        <w:jc w:val="left"/>
        <w:rPr>
          <w:rFonts w:ascii="仿宋" w:hAnsi="仿宋" w:eastAsia="仿宋"/>
          <w:sz w:val="32"/>
          <w:szCs w:val="32"/>
        </w:rPr>
      </w:pPr>
      <w:r>
        <w:rPr>
          <w:rFonts w:ascii="仿宋" w:hAnsi="仿宋" w:eastAsia="仿宋"/>
          <w:sz w:val="32"/>
          <w:szCs w:val="32"/>
        </w:rPr>
        <w:t>该指标赋值</w:t>
      </w:r>
      <w:r>
        <w:rPr>
          <w:rFonts w:hint="eastAsia" w:ascii="仿宋" w:hAnsi="仿宋" w:eastAsia="仿宋"/>
          <w:sz w:val="32"/>
          <w:szCs w:val="32"/>
        </w:rPr>
        <w:t>50</w:t>
      </w:r>
      <w:r>
        <w:rPr>
          <w:rFonts w:ascii="仿宋" w:hAnsi="仿宋" w:eastAsia="仿宋"/>
          <w:sz w:val="32"/>
          <w:szCs w:val="32"/>
        </w:rPr>
        <w:t>分，评价得</w:t>
      </w:r>
      <w:r>
        <w:rPr>
          <w:rFonts w:hint="eastAsia" w:ascii="仿宋" w:hAnsi="仿宋" w:eastAsia="仿宋"/>
          <w:sz w:val="32"/>
          <w:szCs w:val="32"/>
        </w:rPr>
        <w:t>50</w:t>
      </w:r>
      <w:r>
        <w:rPr>
          <w:rFonts w:ascii="仿宋" w:hAnsi="仿宋" w:eastAsia="仿宋"/>
          <w:sz w:val="32"/>
          <w:szCs w:val="32"/>
        </w:rPr>
        <w:t>分。</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部门效果</w:t>
      </w:r>
    </w:p>
    <w:p>
      <w:pPr>
        <w:spacing w:line="360" w:lineRule="auto"/>
        <w:ind w:firstLine="640" w:firstLineChars="200"/>
        <w:jc w:val="left"/>
        <w:rPr>
          <w:rFonts w:ascii="仿宋" w:hAnsi="仿宋" w:eastAsia="仿宋"/>
          <w:sz w:val="32"/>
          <w:szCs w:val="32"/>
        </w:rPr>
      </w:pPr>
      <w:r>
        <w:rPr>
          <w:rFonts w:ascii="仿宋" w:hAnsi="仿宋" w:eastAsia="仿宋"/>
          <w:sz w:val="32"/>
          <w:szCs w:val="32"/>
        </w:rPr>
        <w:t>部门效果包括公众对生态环境的满意度、</w:t>
      </w:r>
      <w:r>
        <w:rPr>
          <w:rFonts w:hint="eastAsia" w:ascii="仿宋" w:hAnsi="仿宋" w:eastAsia="仿宋"/>
          <w:sz w:val="32"/>
          <w:szCs w:val="32"/>
        </w:rPr>
        <w:t>水污染监管</w:t>
      </w:r>
      <w:r>
        <w:rPr>
          <w:rFonts w:ascii="仿宋" w:hAnsi="仿宋" w:eastAsia="仿宋"/>
          <w:sz w:val="32"/>
          <w:szCs w:val="32"/>
        </w:rPr>
        <w:t>、</w:t>
      </w:r>
      <w:r>
        <w:rPr>
          <w:rFonts w:hint="eastAsia" w:ascii="仿宋" w:hAnsi="仿宋" w:eastAsia="仿宋"/>
          <w:sz w:val="32"/>
          <w:szCs w:val="32"/>
        </w:rPr>
        <w:t>污染源监管</w:t>
      </w:r>
      <w:r>
        <w:rPr>
          <w:rFonts w:ascii="仿宋" w:hAnsi="仿宋" w:eastAsia="仿宋"/>
          <w:sz w:val="32"/>
          <w:szCs w:val="32"/>
        </w:rPr>
        <w:t>及</w:t>
      </w:r>
      <w:r>
        <w:rPr>
          <w:rFonts w:hint="eastAsia" w:ascii="仿宋" w:hAnsi="仿宋" w:eastAsia="仿宋"/>
          <w:sz w:val="32"/>
          <w:szCs w:val="32"/>
        </w:rPr>
        <w:t>其他监管</w:t>
      </w:r>
      <w:r>
        <w:rPr>
          <w:rFonts w:ascii="仿宋" w:hAnsi="仿宋" w:eastAsia="仿宋"/>
          <w:sz w:val="32"/>
          <w:szCs w:val="32"/>
        </w:rPr>
        <w:t>等</w:t>
      </w:r>
    </w:p>
    <w:p>
      <w:pPr>
        <w:spacing w:line="360" w:lineRule="auto"/>
        <w:ind w:firstLine="640" w:firstLineChars="200"/>
        <w:jc w:val="left"/>
        <w:rPr>
          <w:rFonts w:ascii="仿宋" w:hAnsi="仿宋" w:eastAsia="仿宋"/>
          <w:sz w:val="32"/>
          <w:szCs w:val="32"/>
        </w:rPr>
      </w:pPr>
      <w:r>
        <w:rPr>
          <w:rFonts w:ascii="仿宋" w:hAnsi="仿宋" w:eastAsia="仿宋"/>
          <w:sz w:val="32"/>
          <w:szCs w:val="32"/>
        </w:rPr>
        <w:t>通过部门规范有序开展工作，对实施的项目进行过程管理，强化资金约束管控，资金使用符合国家财经法规及资金管理办法，资金的拨付审批程序和手续完整、合规，项目的实施取得预期效果，获得主管单位、市民多方的肯定，通过发放和回收问卷调查，满意度比例90%以上。该指标赋值</w:t>
      </w:r>
      <w:r>
        <w:rPr>
          <w:rFonts w:hint="eastAsia" w:ascii="仿宋" w:hAnsi="仿宋" w:eastAsia="仿宋"/>
          <w:sz w:val="32"/>
          <w:szCs w:val="32"/>
        </w:rPr>
        <w:t>10</w:t>
      </w:r>
      <w:r>
        <w:rPr>
          <w:rFonts w:ascii="仿宋" w:hAnsi="仿宋" w:eastAsia="仿宋"/>
          <w:sz w:val="32"/>
          <w:szCs w:val="32"/>
        </w:rPr>
        <w:t>分，评价得分</w:t>
      </w:r>
      <w:r>
        <w:rPr>
          <w:rFonts w:hint="eastAsia" w:ascii="仿宋" w:hAnsi="仿宋" w:eastAsia="仿宋"/>
          <w:sz w:val="32"/>
          <w:szCs w:val="32"/>
        </w:rPr>
        <w:t>10</w:t>
      </w:r>
      <w:r>
        <w:rPr>
          <w:rFonts w:ascii="仿宋" w:hAnsi="仿宋" w:eastAsia="仿宋"/>
          <w:sz w:val="32"/>
          <w:szCs w:val="32"/>
        </w:rPr>
        <w:t>分。</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影响力</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本单位</w:t>
      </w:r>
      <w:r>
        <w:rPr>
          <w:rFonts w:ascii="仿宋" w:hAnsi="仿宋" w:eastAsia="仿宋"/>
          <w:sz w:val="32"/>
          <w:szCs w:val="32"/>
        </w:rPr>
        <w:t>制定了健全的财务制度、人事管理制度以及</w:t>
      </w:r>
      <w:r>
        <w:rPr>
          <w:rFonts w:hint="eastAsia" w:ascii="仿宋" w:hAnsi="仿宋" w:eastAsia="仿宋"/>
          <w:sz w:val="32"/>
          <w:szCs w:val="32"/>
        </w:rPr>
        <w:t>其他</w:t>
      </w:r>
      <w:r>
        <w:rPr>
          <w:rFonts w:ascii="仿宋" w:hAnsi="仿宋" w:eastAsia="仿宋"/>
          <w:sz w:val="32"/>
          <w:szCs w:val="32"/>
        </w:rPr>
        <w:t>管理制度，遵循政府采购管理办法，建立资产管理制度，用于保障设施设备能够长期发挥效益。该指标赋值</w:t>
      </w:r>
      <w:r>
        <w:rPr>
          <w:rFonts w:hint="eastAsia" w:ascii="仿宋" w:hAnsi="仿宋" w:eastAsia="仿宋"/>
          <w:sz w:val="32"/>
          <w:szCs w:val="32"/>
        </w:rPr>
        <w:t>10</w:t>
      </w:r>
      <w:r>
        <w:rPr>
          <w:rFonts w:ascii="仿宋" w:hAnsi="仿宋" w:eastAsia="仿宋"/>
          <w:sz w:val="32"/>
          <w:szCs w:val="32"/>
        </w:rPr>
        <w:t>分，评价得分</w:t>
      </w:r>
      <w:r>
        <w:rPr>
          <w:rFonts w:hint="eastAsia" w:ascii="仿宋" w:hAnsi="仿宋" w:eastAsia="仿宋"/>
          <w:sz w:val="32"/>
          <w:szCs w:val="32"/>
        </w:rPr>
        <w:t>10</w:t>
      </w:r>
      <w:r>
        <w:rPr>
          <w:rFonts w:ascii="仿宋" w:hAnsi="仿宋" w:eastAsia="仿宋"/>
          <w:sz w:val="32"/>
          <w:szCs w:val="32"/>
        </w:rPr>
        <w:t>分。</w:t>
      </w:r>
    </w:p>
    <w:p>
      <w:pPr>
        <w:spacing w:line="360" w:lineRule="auto"/>
        <w:ind w:left="479" w:leftChars="228"/>
        <w:rPr>
          <w:rFonts w:ascii="仿宋" w:hAnsi="仿宋" w:eastAsia="仿宋"/>
          <w:b/>
          <w:sz w:val="32"/>
          <w:szCs w:val="32"/>
        </w:rPr>
      </w:pPr>
      <w:r>
        <w:rPr>
          <w:rFonts w:ascii="仿宋" w:hAnsi="仿宋" w:eastAsia="仿宋"/>
          <w:b/>
          <w:sz w:val="32"/>
          <w:szCs w:val="32"/>
        </w:rPr>
        <w:t xml:space="preserve"> (四）偏离绩效目标的原因及下一步改进措施</w:t>
      </w:r>
    </w:p>
    <w:p>
      <w:pPr>
        <w:spacing w:line="360" w:lineRule="auto"/>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年我局申报预算绩效项目</w:t>
      </w:r>
      <w:r>
        <w:rPr>
          <w:rFonts w:hint="eastAsia" w:ascii="仿宋" w:hAnsi="仿宋" w:eastAsia="仿宋"/>
          <w:sz w:val="32"/>
          <w:szCs w:val="32"/>
        </w:rPr>
        <w:t>14</w:t>
      </w:r>
      <w:r>
        <w:rPr>
          <w:rFonts w:ascii="仿宋" w:hAnsi="仿宋" w:eastAsia="仿宋"/>
          <w:sz w:val="32"/>
          <w:szCs w:val="32"/>
        </w:rPr>
        <w:t>个，绩效自评价结果为优的项目</w:t>
      </w:r>
      <w:r>
        <w:rPr>
          <w:rFonts w:hint="eastAsia" w:ascii="仿宋" w:hAnsi="仿宋" w:eastAsia="仿宋"/>
          <w:sz w:val="32"/>
          <w:szCs w:val="32"/>
        </w:rPr>
        <w:t>14</w:t>
      </w:r>
      <w:r>
        <w:rPr>
          <w:rFonts w:ascii="仿宋" w:hAnsi="仿宋" w:eastAsia="仿宋"/>
          <w:sz w:val="32"/>
          <w:szCs w:val="32"/>
        </w:rPr>
        <w:t>个，评价为良的项目</w:t>
      </w:r>
      <w:r>
        <w:rPr>
          <w:rFonts w:hint="eastAsia" w:ascii="仿宋" w:hAnsi="仿宋" w:eastAsia="仿宋"/>
          <w:sz w:val="32"/>
          <w:szCs w:val="32"/>
        </w:rPr>
        <w:t>0</w:t>
      </w:r>
      <w:r>
        <w:rPr>
          <w:rFonts w:ascii="仿宋" w:hAnsi="仿宋" w:eastAsia="仿宋"/>
          <w:sz w:val="32"/>
          <w:szCs w:val="32"/>
        </w:rPr>
        <w:t>个。</w:t>
      </w:r>
      <w:r>
        <w:rPr>
          <w:rFonts w:hint="eastAsia" w:ascii="仿宋" w:hAnsi="仿宋" w:eastAsia="仿宋"/>
          <w:sz w:val="32"/>
          <w:szCs w:val="32"/>
        </w:rPr>
        <w:t>全年预算数与全年执行数一致，无偏差。</w:t>
      </w:r>
    </w:p>
    <w:p>
      <w:pPr>
        <w:spacing w:line="360" w:lineRule="auto"/>
        <w:ind w:firstLine="643" w:firstLineChars="200"/>
        <w:rPr>
          <w:rFonts w:ascii="仿宋" w:hAnsi="仿宋" w:eastAsia="仿宋"/>
          <w:sz w:val="32"/>
          <w:szCs w:val="32"/>
        </w:rPr>
      </w:pPr>
      <w:r>
        <w:rPr>
          <w:rFonts w:asciiTheme="majorEastAsia" w:hAnsiTheme="majorEastAsia" w:eastAsiaTheme="majorEastAsia"/>
          <w:b/>
          <w:sz w:val="32"/>
          <w:szCs w:val="32"/>
        </w:rPr>
        <w:t>四、部门预算项目支出绩效自评情况分析</w:t>
      </w:r>
      <w:r>
        <w:rPr>
          <w:rFonts w:asciiTheme="majorEastAsia" w:hAnsiTheme="majorEastAsia" w:eastAsiaTheme="majorEastAsia"/>
          <w:b/>
          <w:sz w:val="32"/>
          <w:szCs w:val="32"/>
        </w:rPr>
        <w:cr/>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年我</w:t>
      </w:r>
      <w:r>
        <w:rPr>
          <w:rFonts w:hint="eastAsia" w:ascii="仿宋" w:hAnsi="仿宋" w:eastAsia="仿宋"/>
          <w:sz w:val="32"/>
          <w:szCs w:val="32"/>
        </w:rPr>
        <w:t>单位</w:t>
      </w:r>
      <w:r>
        <w:rPr>
          <w:rFonts w:ascii="仿宋" w:hAnsi="仿宋" w:eastAsia="仿宋"/>
          <w:sz w:val="32"/>
          <w:szCs w:val="32"/>
        </w:rPr>
        <w:t>预算支出项目</w:t>
      </w:r>
      <w:r>
        <w:rPr>
          <w:rFonts w:hint="eastAsia" w:ascii="仿宋" w:hAnsi="仿宋" w:eastAsia="仿宋"/>
          <w:sz w:val="32"/>
          <w:szCs w:val="32"/>
        </w:rPr>
        <w:t>14</w:t>
      </w:r>
      <w:r>
        <w:rPr>
          <w:rFonts w:ascii="仿宋" w:hAnsi="仿宋" w:eastAsia="仿宋"/>
          <w:sz w:val="32"/>
          <w:szCs w:val="32"/>
        </w:rPr>
        <w:t>个。通过自评，有</w:t>
      </w:r>
      <w:r>
        <w:rPr>
          <w:rFonts w:hint="eastAsia" w:ascii="仿宋" w:hAnsi="仿宋" w:eastAsia="仿宋"/>
          <w:sz w:val="32"/>
          <w:szCs w:val="32"/>
        </w:rPr>
        <w:t>14</w:t>
      </w:r>
      <w:r>
        <w:rPr>
          <w:rFonts w:ascii="仿宋" w:hAnsi="仿宋" w:eastAsia="仿宋"/>
          <w:sz w:val="32"/>
          <w:szCs w:val="32"/>
        </w:rPr>
        <w:t>个项目评价结果为“优”</w:t>
      </w:r>
      <w:r>
        <w:rPr>
          <w:rFonts w:hint="eastAsia" w:ascii="仿宋" w:hAnsi="仿宋" w:eastAsia="仿宋"/>
          <w:sz w:val="32"/>
          <w:szCs w:val="32"/>
        </w:rPr>
        <w:t>。</w:t>
      </w:r>
      <w:r>
        <w:rPr>
          <w:rFonts w:ascii="仿宋" w:hAnsi="仿宋" w:eastAsia="仿宋"/>
          <w:sz w:val="32"/>
          <w:szCs w:val="32"/>
        </w:rPr>
        <w:t xml:space="preserve"> </w:t>
      </w:r>
    </w:p>
    <w:p>
      <w:pPr>
        <w:spacing w:line="360" w:lineRule="auto"/>
        <w:ind w:firstLine="643" w:firstLineChars="200"/>
        <w:rPr>
          <w:rFonts w:ascii="仿宋" w:hAnsi="仿宋" w:eastAsia="仿宋"/>
          <w:b/>
          <w:sz w:val="32"/>
          <w:szCs w:val="32"/>
        </w:rPr>
      </w:pPr>
      <w:r>
        <w:rPr>
          <w:rFonts w:ascii="仿宋" w:hAnsi="仿宋" w:eastAsia="仿宋"/>
          <w:b/>
          <w:sz w:val="32"/>
          <w:szCs w:val="32"/>
        </w:rPr>
        <w:t>五、绩效自评结果拟应用和公开情况</w:t>
      </w:r>
    </w:p>
    <w:p>
      <w:pPr>
        <w:spacing w:line="360" w:lineRule="auto"/>
        <w:ind w:firstLine="640" w:firstLineChars="200"/>
        <w:rPr>
          <w:rFonts w:ascii="仿宋" w:hAnsi="仿宋" w:eastAsia="仿宋"/>
          <w:sz w:val="32"/>
          <w:szCs w:val="32"/>
        </w:rPr>
      </w:pPr>
      <w:r>
        <w:rPr>
          <w:rFonts w:ascii="仿宋" w:hAnsi="仿宋" w:eastAsia="仿宋"/>
          <w:sz w:val="32"/>
          <w:szCs w:val="32"/>
        </w:rPr>
        <w:t>绩效评价工作是以结果为导向的公共支出管理活动，是对政府行为目标进行内部控制，促进政府提高效率、转变职能、优化资源配置以及提高公共服务水平的重要手段。我局将充分应用自评价结果，改进预算编制，逐步实现项目绩效目标合理设置、规范有效可量化，结合评价结果，对被评价项目绩效情况、完成的程度和存在问题与建议加以综合分析，强化评价结果的应用</w:t>
      </w:r>
      <w:r>
        <w:rPr>
          <w:rFonts w:hint="eastAsia" w:ascii="仿宋" w:hAnsi="仿宋" w:eastAsia="仿宋"/>
          <w:sz w:val="32"/>
          <w:szCs w:val="32"/>
        </w:rPr>
        <w:t>。</w:t>
      </w:r>
      <w:r>
        <w:rPr>
          <w:rFonts w:ascii="仿宋" w:hAnsi="仿宋" w:eastAsia="仿宋"/>
          <w:sz w:val="32"/>
          <w:szCs w:val="32"/>
        </w:rPr>
        <w:t>一是评价结果优秀且绩效突出的，在安排后续资金时给与充分保障。二是评价结果为良好和合格的，对存在的问题整改后，按正常从紧原则，编制预算，安排下一年度财政资金。突出绩效导向，落实主体责任，通过全方位、全过程、全覆盖实施预算绩效管理，实现预算和绩效管理一体化，着力提高财政资源配置效率和使用效益。</w:t>
      </w:r>
    </w:p>
    <w:p>
      <w:pPr>
        <w:spacing w:line="360" w:lineRule="auto"/>
        <w:ind w:firstLine="640" w:firstLineChars="200"/>
        <w:rPr>
          <w:rFonts w:ascii="仿宋" w:hAnsi="仿宋" w:eastAsia="仿宋"/>
          <w:sz w:val="32"/>
          <w:szCs w:val="32"/>
        </w:rPr>
      </w:pPr>
      <w:r>
        <w:rPr>
          <w:rFonts w:ascii="仿宋" w:hAnsi="仿宋" w:eastAsia="仿宋"/>
          <w:sz w:val="32"/>
          <w:szCs w:val="32"/>
        </w:rPr>
        <w:t>我局对202</w:t>
      </w:r>
      <w:r>
        <w:rPr>
          <w:rFonts w:hint="eastAsia" w:ascii="仿宋" w:hAnsi="仿宋" w:eastAsia="仿宋"/>
          <w:sz w:val="32"/>
          <w:szCs w:val="32"/>
        </w:rPr>
        <w:t>1</w:t>
      </w:r>
      <w:r>
        <w:rPr>
          <w:rFonts w:ascii="仿宋" w:hAnsi="仿宋" w:eastAsia="仿宋"/>
          <w:sz w:val="32"/>
          <w:szCs w:val="32"/>
        </w:rPr>
        <w:t>年自评价结果将在兰州市环境保护局网站按期公开。</w:t>
      </w:r>
    </w:p>
    <w:p>
      <w:pPr>
        <w:spacing w:line="360" w:lineRule="auto"/>
        <w:ind w:left="479" w:leftChars="228"/>
        <w:rPr>
          <w:rFonts w:ascii="仿宋" w:hAnsi="仿宋" w:eastAsia="仿宋"/>
          <w:sz w:val="32"/>
          <w:szCs w:val="32"/>
        </w:rPr>
      </w:pPr>
      <w:r>
        <w:rPr>
          <w:rFonts w:ascii="仿宋" w:hAnsi="仿宋" w:eastAsia="仿宋"/>
          <w:b/>
          <w:sz w:val="32"/>
          <w:szCs w:val="32"/>
        </w:rPr>
        <w:t>六、其他需要说明的问题</w:t>
      </w:r>
      <w:r>
        <w:rPr>
          <w:rFonts w:ascii="仿宋" w:hAnsi="仿宋" w:eastAsia="仿宋"/>
          <w:b/>
          <w:sz w:val="32"/>
          <w:szCs w:val="32"/>
        </w:rPr>
        <w:cr/>
      </w:r>
      <w:r>
        <w:rPr>
          <w:rFonts w:ascii="仿宋" w:hAnsi="仿宋" w:eastAsia="仿宋"/>
          <w:sz w:val="32"/>
          <w:szCs w:val="32"/>
        </w:rPr>
        <w:t>无</w:t>
      </w:r>
    </w:p>
    <w:p>
      <w:pPr>
        <w:spacing w:line="360" w:lineRule="auto"/>
        <w:ind w:left="479" w:leftChars="228"/>
        <w:rPr>
          <w:rFonts w:ascii="Arial Narrow" w:hAnsi="Arial Narrow"/>
          <w:sz w:val="24"/>
          <w:szCs w:val="24"/>
        </w:rPr>
      </w:pPr>
    </w:p>
    <w:p>
      <w:pPr>
        <w:spacing w:line="360" w:lineRule="auto"/>
        <w:ind w:left="479" w:leftChars="228"/>
        <w:rPr>
          <w:rFonts w:ascii="Arial Narrow" w:hAnsi="Arial Narrow"/>
          <w:sz w:val="24"/>
          <w:szCs w:val="24"/>
        </w:rPr>
      </w:pPr>
    </w:p>
    <w:p>
      <w:pPr>
        <w:spacing w:line="360" w:lineRule="auto"/>
        <w:ind w:left="479" w:leftChars="228"/>
        <w:rPr>
          <w:rFonts w:ascii="仿宋" w:hAnsi="仿宋" w:eastAsia="仿宋"/>
          <w:sz w:val="32"/>
          <w:szCs w:val="32"/>
        </w:rPr>
      </w:pPr>
      <w:r>
        <w:rPr>
          <w:rFonts w:hint="eastAsia" w:ascii="仿宋" w:hAnsi="仿宋" w:eastAsia="仿宋"/>
          <w:sz w:val="32"/>
          <w:szCs w:val="32"/>
        </w:rPr>
        <w:t xml:space="preserve">                        兰州市生态环境局西固分局</w:t>
      </w:r>
    </w:p>
    <w:p>
      <w:pPr>
        <w:spacing w:line="360" w:lineRule="auto"/>
        <w:ind w:left="479" w:leftChars="228"/>
        <w:rPr>
          <w:rFonts w:ascii="仿宋" w:hAnsi="仿宋" w:eastAsia="仿宋"/>
          <w:sz w:val="32"/>
          <w:szCs w:val="32"/>
        </w:rPr>
      </w:pPr>
      <w:r>
        <w:rPr>
          <w:rFonts w:hint="eastAsia" w:ascii="仿宋" w:hAnsi="仿宋" w:eastAsia="仿宋"/>
          <w:sz w:val="32"/>
          <w:szCs w:val="32"/>
        </w:rPr>
        <w:t xml:space="preserve">                           2022年3月24日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0816"/>
    <w:rsid w:val="0001026F"/>
    <w:rsid w:val="0001259B"/>
    <w:rsid w:val="00031876"/>
    <w:rsid w:val="000371FD"/>
    <w:rsid w:val="0005060A"/>
    <w:rsid w:val="00073B58"/>
    <w:rsid w:val="000829A9"/>
    <w:rsid w:val="00097B50"/>
    <w:rsid w:val="000B3533"/>
    <w:rsid w:val="000B4F4A"/>
    <w:rsid w:val="000C69AE"/>
    <w:rsid w:val="000C774E"/>
    <w:rsid w:val="000D15A1"/>
    <w:rsid w:val="000D7A06"/>
    <w:rsid w:val="000E0F3E"/>
    <w:rsid w:val="000F40AF"/>
    <w:rsid w:val="000F75C0"/>
    <w:rsid w:val="0012078F"/>
    <w:rsid w:val="00122F77"/>
    <w:rsid w:val="00170816"/>
    <w:rsid w:val="00180BEE"/>
    <w:rsid w:val="00181D95"/>
    <w:rsid w:val="00186E5A"/>
    <w:rsid w:val="00193D41"/>
    <w:rsid w:val="00196AF1"/>
    <w:rsid w:val="001A040D"/>
    <w:rsid w:val="001A3907"/>
    <w:rsid w:val="001A51CE"/>
    <w:rsid w:val="001B1DEE"/>
    <w:rsid w:val="001D2A92"/>
    <w:rsid w:val="00202535"/>
    <w:rsid w:val="00224D24"/>
    <w:rsid w:val="002272FD"/>
    <w:rsid w:val="00247066"/>
    <w:rsid w:val="002B1831"/>
    <w:rsid w:val="002C2E65"/>
    <w:rsid w:val="002D2348"/>
    <w:rsid w:val="002E6201"/>
    <w:rsid w:val="00300DFB"/>
    <w:rsid w:val="003523BC"/>
    <w:rsid w:val="00375662"/>
    <w:rsid w:val="003A4C5A"/>
    <w:rsid w:val="003B1CFA"/>
    <w:rsid w:val="003B4D88"/>
    <w:rsid w:val="003B655C"/>
    <w:rsid w:val="003C1C00"/>
    <w:rsid w:val="003E240A"/>
    <w:rsid w:val="003E40CE"/>
    <w:rsid w:val="004018C3"/>
    <w:rsid w:val="0040707E"/>
    <w:rsid w:val="0042421F"/>
    <w:rsid w:val="0043213C"/>
    <w:rsid w:val="00435FEF"/>
    <w:rsid w:val="00443893"/>
    <w:rsid w:val="00457527"/>
    <w:rsid w:val="00481A43"/>
    <w:rsid w:val="00495796"/>
    <w:rsid w:val="00495DFB"/>
    <w:rsid w:val="00496A4C"/>
    <w:rsid w:val="004B3FE5"/>
    <w:rsid w:val="004D07CB"/>
    <w:rsid w:val="00513BE6"/>
    <w:rsid w:val="00516117"/>
    <w:rsid w:val="00520042"/>
    <w:rsid w:val="005212A8"/>
    <w:rsid w:val="00532232"/>
    <w:rsid w:val="00555C44"/>
    <w:rsid w:val="00561441"/>
    <w:rsid w:val="00561FCF"/>
    <w:rsid w:val="00563603"/>
    <w:rsid w:val="00567109"/>
    <w:rsid w:val="00576AFD"/>
    <w:rsid w:val="005803DD"/>
    <w:rsid w:val="005850AB"/>
    <w:rsid w:val="005A31D3"/>
    <w:rsid w:val="005B47F6"/>
    <w:rsid w:val="005C5F14"/>
    <w:rsid w:val="005E3C2E"/>
    <w:rsid w:val="005E4917"/>
    <w:rsid w:val="005F29F0"/>
    <w:rsid w:val="00622FDD"/>
    <w:rsid w:val="00634B1E"/>
    <w:rsid w:val="00644C0A"/>
    <w:rsid w:val="00646B2C"/>
    <w:rsid w:val="00650B9A"/>
    <w:rsid w:val="006726F3"/>
    <w:rsid w:val="00677224"/>
    <w:rsid w:val="006976F4"/>
    <w:rsid w:val="006C1AAC"/>
    <w:rsid w:val="006E4232"/>
    <w:rsid w:val="006F0BEB"/>
    <w:rsid w:val="00764510"/>
    <w:rsid w:val="0077596D"/>
    <w:rsid w:val="00776347"/>
    <w:rsid w:val="00784B11"/>
    <w:rsid w:val="0079201A"/>
    <w:rsid w:val="007A582A"/>
    <w:rsid w:val="007B28DE"/>
    <w:rsid w:val="007B3289"/>
    <w:rsid w:val="007C2089"/>
    <w:rsid w:val="007D34BB"/>
    <w:rsid w:val="007D467E"/>
    <w:rsid w:val="007D6147"/>
    <w:rsid w:val="007F0677"/>
    <w:rsid w:val="007F0E2E"/>
    <w:rsid w:val="008213C3"/>
    <w:rsid w:val="00826220"/>
    <w:rsid w:val="00862342"/>
    <w:rsid w:val="00884D7D"/>
    <w:rsid w:val="00896410"/>
    <w:rsid w:val="008B02AC"/>
    <w:rsid w:val="008B3C90"/>
    <w:rsid w:val="008B5793"/>
    <w:rsid w:val="008D3605"/>
    <w:rsid w:val="008E3578"/>
    <w:rsid w:val="008F188F"/>
    <w:rsid w:val="008F2BD6"/>
    <w:rsid w:val="008F62B9"/>
    <w:rsid w:val="00911F96"/>
    <w:rsid w:val="009121A4"/>
    <w:rsid w:val="0094414A"/>
    <w:rsid w:val="0095675A"/>
    <w:rsid w:val="0096691B"/>
    <w:rsid w:val="00974940"/>
    <w:rsid w:val="00982F8D"/>
    <w:rsid w:val="00997A25"/>
    <w:rsid w:val="009A5AA6"/>
    <w:rsid w:val="00A370AB"/>
    <w:rsid w:val="00A454FF"/>
    <w:rsid w:val="00A63B65"/>
    <w:rsid w:val="00A707FC"/>
    <w:rsid w:val="00AA2441"/>
    <w:rsid w:val="00AE48A7"/>
    <w:rsid w:val="00AE4D13"/>
    <w:rsid w:val="00AE5F1A"/>
    <w:rsid w:val="00AE7D33"/>
    <w:rsid w:val="00B00046"/>
    <w:rsid w:val="00B20A3F"/>
    <w:rsid w:val="00B41870"/>
    <w:rsid w:val="00B71BF7"/>
    <w:rsid w:val="00BA18FE"/>
    <w:rsid w:val="00BA57EB"/>
    <w:rsid w:val="00BB0223"/>
    <w:rsid w:val="00BB267C"/>
    <w:rsid w:val="00BB2861"/>
    <w:rsid w:val="00BB30B6"/>
    <w:rsid w:val="00BC5D44"/>
    <w:rsid w:val="00BE6542"/>
    <w:rsid w:val="00BF49B4"/>
    <w:rsid w:val="00BF71B9"/>
    <w:rsid w:val="00BF728F"/>
    <w:rsid w:val="00C13A25"/>
    <w:rsid w:val="00C15340"/>
    <w:rsid w:val="00C20D59"/>
    <w:rsid w:val="00C319D3"/>
    <w:rsid w:val="00C45BF0"/>
    <w:rsid w:val="00C46E77"/>
    <w:rsid w:val="00C500F2"/>
    <w:rsid w:val="00C50DBC"/>
    <w:rsid w:val="00C546B7"/>
    <w:rsid w:val="00C723F7"/>
    <w:rsid w:val="00C81184"/>
    <w:rsid w:val="00C953C2"/>
    <w:rsid w:val="00CA0D92"/>
    <w:rsid w:val="00CA6427"/>
    <w:rsid w:val="00CB5708"/>
    <w:rsid w:val="00CE47EC"/>
    <w:rsid w:val="00CF27BC"/>
    <w:rsid w:val="00D160A9"/>
    <w:rsid w:val="00D20F89"/>
    <w:rsid w:val="00D762DC"/>
    <w:rsid w:val="00D762FD"/>
    <w:rsid w:val="00D83FBC"/>
    <w:rsid w:val="00D97E8B"/>
    <w:rsid w:val="00DB142D"/>
    <w:rsid w:val="00DC1091"/>
    <w:rsid w:val="00DC6219"/>
    <w:rsid w:val="00DD3E1E"/>
    <w:rsid w:val="00DE0110"/>
    <w:rsid w:val="00DE2988"/>
    <w:rsid w:val="00DF5E89"/>
    <w:rsid w:val="00E04610"/>
    <w:rsid w:val="00E10AF0"/>
    <w:rsid w:val="00E21B9D"/>
    <w:rsid w:val="00E507CB"/>
    <w:rsid w:val="00E53336"/>
    <w:rsid w:val="00E61F2F"/>
    <w:rsid w:val="00E63552"/>
    <w:rsid w:val="00E74FBE"/>
    <w:rsid w:val="00E82DF2"/>
    <w:rsid w:val="00EA0135"/>
    <w:rsid w:val="00EA132F"/>
    <w:rsid w:val="00EB67BC"/>
    <w:rsid w:val="00EB7EBA"/>
    <w:rsid w:val="00EC2506"/>
    <w:rsid w:val="00EE5C55"/>
    <w:rsid w:val="00EF7BA4"/>
    <w:rsid w:val="00F052EB"/>
    <w:rsid w:val="00F0610A"/>
    <w:rsid w:val="00F23F98"/>
    <w:rsid w:val="00F348AA"/>
    <w:rsid w:val="00F35D21"/>
    <w:rsid w:val="00F54980"/>
    <w:rsid w:val="00F56A42"/>
    <w:rsid w:val="00F60F74"/>
    <w:rsid w:val="00F76A6F"/>
    <w:rsid w:val="00F80E3E"/>
    <w:rsid w:val="00F817B7"/>
    <w:rsid w:val="00F877B6"/>
    <w:rsid w:val="00FC49A8"/>
    <w:rsid w:val="00FD257D"/>
    <w:rsid w:val="00FD26A8"/>
    <w:rsid w:val="00FD45EC"/>
    <w:rsid w:val="00FE6158"/>
    <w:rsid w:val="00FF0AC6"/>
    <w:rsid w:val="75272D6F"/>
    <w:rsid w:val="791E1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 w:type="character" w:customStyle="1" w:styleId="12">
    <w:name w:val="NormalCharact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7B773-F648-4BC2-9A9A-9FDCBE4AA9E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986</Words>
  <Characters>5623</Characters>
  <Lines>46</Lines>
  <Paragraphs>13</Paragraphs>
  <TotalTime>33</TotalTime>
  <ScaleCrop>false</ScaleCrop>
  <LinksUpToDate>false</LinksUpToDate>
  <CharactersWithSpaces>6596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2022-03-25T07:43:00Z</dcterms:created>
  <dc:creator>jiangyuling</dc:creator>
  <cp:lastModifiedBy>Administrator</cp:lastModifiedBy>
  <cp:lastPrinted>2022-03-30T08:45:00Z</cp:lastPrinted>
  <dcterms:modified xsi:type="dcterms:W3CDTF">2022-03-30T08:58:52Z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DC54B5A613D34448858D18EC00E9AD69</vt:lpwstr>
  </property>
</Properties>
</file>